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B34CC" w14:textId="5484501B" w:rsidR="006F1088" w:rsidRDefault="00263870" w:rsidP="00263870">
      <w:pPr>
        <w:jc w:val="center"/>
        <w:rPr>
          <w:b/>
          <w:bCs/>
          <w:sz w:val="28"/>
          <w:szCs w:val="28"/>
        </w:rPr>
      </w:pPr>
      <w:r w:rsidRPr="00263870">
        <w:rPr>
          <w:b/>
          <w:bCs/>
          <w:sz w:val="28"/>
          <w:szCs w:val="28"/>
        </w:rPr>
        <w:t>SOLE SOURCE PROCESS</w:t>
      </w:r>
      <w:r w:rsidR="008C10EC">
        <w:rPr>
          <w:b/>
          <w:bCs/>
          <w:sz w:val="28"/>
          <w:szCs w:val="28"/>
        </w:rPr>
        <w:t>*</w:t>
      </w:r>
    </w:p>
    <w:p w14:paraId="35F36E8C" w14:textId="2ABF6A45" w:rsidR="00263870" w:rsidRPr="004557F2" w:rsidRDefault="00263870" w:rsidP="00263870">
      <w:pPr>
        <w:rPr>
          <w:rFonts w:cstheme="minorHAnsi"/>
          <w:b/>
          <w:bCs/>
        </w:rPr>
      </w:pPr>
      <w:r w:rsidRPr="004557F2">
        <w:rPr>
          <w:rFonts w:cstheme="minorHAnsi"/>
          <w:b/>
          <w:bCs/>
        </w:rPr>
        <w:t>What is a sole source and do I need one?</w:t>
      </w:r>
    </w:p>
    <w:p w14:paraId="0C5CA772" w14:textId="363DAF44" w:rsidR="00263870" w:rsidRPr="004557F2" w:rsidRDefault="004476EC" w:rsidP="00263870">
      <w:pPr>
        <w:rPr>
          <w:rFonts w:cstheme="minorHAnsi"/>
          <w:color w:val="000000"/>
          <w:shd w:val="clear" w:color="auto" w:fill="FFFFFF"/>
        </w:rPr>
      </w:pPr>
      <w:r w:rsidRPr="004557F2">
        <w:rPr>
          <w:rFonts w:cstheme="minorHAnsi"/>
          <w:color w:val="000000"/>
          <w:shd w:val="clear" w:color="auto" w:fill="FFFFFF"/>
        </w:rPr>
        <w:t xml:space="preserve">A sole source means that only one source exists that can provide your desired commodities. </w:t>
      </w:r>
      <w:r w:rsidR="00263870" w:rsidRPr="004557F2">
        <w:rPr>
          <w:rFonts w:cstheme="minorHAnsi"/>
          <w:color w:val="000000"/>
          <w:shd w:val="clear" w:color="auto" w:fill="FFFFFF"/>
        </w:rPr>
        <w:t>For purchases with a value of $25,000 or more, </w:t>
      </w:r>
      <w:r w:rsidR="00263870" w:rsidRPr="004557F2">
        <w:rPr>
          <w:rStyle w:val="mcpopup"/>
          <w:rFonts w:cstheme="minorHAnsi"/>
          <w:color w:val="000000"/>
          <w:shd w:val="clear" w:color="auto" w:fill="FFFFFF"/>
        </w:rPr>
        <w:t>sole source purchases</w:t>
      </w:r>
      <w:r w:rsidR="00263870" w:rsidRPr="004557F2">
        <w:rPr>
          <w:rFonts w:cstheme="minorHAnsi"/>
          <w:color w:val="000000"/>
          <w:shd w:val="clear" w:color="auto" w:fill="FFFFFF"/>
        </w:rPr>
        <w:t> are prohibited unless the state entity establishes justification why the needed goods or services should not be procured through open competition</w:t>
      </w:r>
      <w:r w:rsidR="008D3103" w:rsidRPr="004557F2">
        <w:rPr>
          <w:rFonts w:cstheme="minorHAnsi"/>
          <w:color w:val="000000"/>
          <w:shd w:val="clear" w:color="auto" w:fill="FFFFFF"/>
        </w:rPr>
        <w:t>.</w:t>
      </w:r>
      <w:r w:rsidR="00CD1D14" w:rsidRPr="004557F2">
        <w:rPr>
          <w:rFonts w:cstheme="minorHAnsi"/>
          <w:color w:val="000000"/>
          <w:shd w:val="clear" w:color="auto" w:fill="FFFFFF"/>
        </w:rPr>
        <w:t xml:space="preserve"> </w:t>
      </w:r>
      <w:r w:rsidR="008D3103" w:rsidRPr="004557F2">
        <w:rPr>
          <w:rFonts w:cstheme="minorHAnsi"/>
          <w:color w:val="000000"/>
          <w:shd w:val="clear" w:color="auto" w:fill="FFFFFF"/>
        </w:rPr>
        <w:t xml:space="preserve">The sole source purchase may be made by filling out the sole source form and posting it to the Georgia Procurement Registry. If sole source is expected to be over $500,000.00, yearly, the requesting should contact the Procurement Department before filling out the sole source form. </w:t>
      </w:r>
    </w:p>
    <w:p w14:paraId="7779A6AE" w14:textId="3E685967" w:rsidR="004554A0" w:rsidRPr="004557F2" w:rsidRDefault="004554A0" w:rsidP="00263870">
      <w:pPr>
        <w:rPr>
          <w:rFonts w:cstheme="minorHAnsi"/>
          <w:color w:val="000000"/>
          <w:shd w:val="clear" w:color="auto" w:fill="FFFFFF"/>
        </w:rPr>
      </w:pPr>
      <w:r w:rsidRPr="004557F2">
        <w:rPr>
          <w:rFonts w:cstheme="minorHAnsi"/>
          <w:color w:val="000000"/>
          <w:shd w:val="clear" w:color="auto" w:fill="FFFFFF"/>
        </w:rPr>
        <w:t xml:space="preserve">The </w:t>
      </w:r>
      <w:r w:rsidR="00BE28B6" w:rsidRPr="004557F2">
        <w:rPr>
          <w:rFonts w:cstheme="minorHAnsi"/>
          <w:color w:val="000000"/>
          <w:shd w:val="clear" w:color="auto" w:fill="FFFFFF"/>
        </w:rPr>
        <w:t xml:space="preserve">one or more of the </w:t>
      </w:r>
      <w:r w:rsidRPr="004557F2">
        <w:rPr>
          <w:rFonts w:cstheme="minorHAnsi"/>
          <w:color w:val="000000"/>
          <w:shd w:val="clear" w:color="auto" w:fill="FFFFFF"/>
        </w:rPr>
        <w:t>below requirements must be met for a product and/or service to be considered a sole source</w:t>
      </w:r>
    </w:p>
    <w:p w14:paraId="62FDCFDF" w14:textId="028FDAD6" w:rsidR="004554A0" w:rsidRPr="004554A0" w:rsidRDefault="004554A0" w:rsidP="004554A0">
      <w:pPr>
        <w:numPr>
          <w:ilvl w:val="1"/>
          <w:numId w:val="1"/>
        </w:numPr>
        <w:rPr>
          <w:rFonts w:cstheme="minorHAnsi"/>
        </w:rPr>
      </w:pPr>
      <w:r w:rsidRPr="004554A0">
        <w:rPr>
          <w:rFonts w:cstheme="minorHAnsi"/>
        </w:rPr>
        <w:t>Only one supplier can satisfy the technical requirements because of unique technical competence or expertise.</w:t>
      </w:r>
      <w:r w:rsidRPr="004557F2">
        <w:rPr>
          <w:rFonts w:cstheme="minorHAnsi"/>
        </w:rPr>
        <w:t xml:space="preserve"> Consulting Services generally cannot be considered a sole source service. </w:t>
      </w:r>
    </w:p>
    <w:p w14:paraId="3E1C8CAE" w14:textId="77777777" w:rsidR="004554A0" w:rsidRPr="004554A0" w:rsidRDefault="004554A0" w:rsidP="004554A0">
      <w:pPr>
        <w:numPr>
          <w:ilvl w:val="1"/>
          <w:numId w:val="1"/>
        </w:numPr>
        <w:rPr>
          <w:rFonts w:cstheme="minorHAnsi"/>
        </w:rPr>
      </w:pPr>
      <w:r w:rsidRPr="004554A0">
        <w:rPr>
          <w:rFonts w:cstheme="minorHAnsi"/>
        </w:rPr>
        <w:t>Only one supplier possesses patents or exclusive rights to manufacture or to furnish the item or service.</w:t>
      </w:r>
    </w:p>
    <w:p w14:paraId="684DD3EA" w14:textId="057CC196" w:rsidR="004554A0" w:rsidRPr="004554A0" w:rsidRDefault="004554A0" w:rsidP="004554A0">
      <w:pPr>
        <w:numPr>
          <w:ilvl w:val="1"/>
          <w:numId w:val="1"/>
        </w:numPr>
        <w:rPr>
          <w:rFonts w:cstheme="minorHAnsi"/>
        </w:rPr>
      </w:pPr>
      <w:r w:rsidRPr="004554A0">
        <w:rPr>
          <w:rFonts w:cstheme="minorHAnsi"/>
        </w:rPr>
        <w:t xml:space="preserve">Only one supplier can furnish the services because of the supplier's previous </w:t>
      </w:r>
      <w:r w:rsidR="008958FB">
        <w:rPr>
          <w:rFonts w:cstheme="minorHAnsi"/>
        </w:rPr>
        <w:t>“Univeristy”</w:t>
      </w:r>
      <w:bookmarkStart w:id="0" w:name="_GoBack"/>
      <w:bookmarkEnd w:id="0"/>
      <w:r w:rsidRPr="004554A0">
        <w:rPr>
          <w:rFonts w:cstheme="minorHAnsi"/>
        </w:rPr>
        <w:t xml:space="preserve"> experience and having an alternative </w:t>
      </w:r>
      <w:r w:rsidRPr="004554A0">
        <w:rPr>
          <w:rFonts w:cstheme="minorHAnsi"/>
          <w:b/>
          <w:bCs/>
        </w:rPr>
        <w:t>source</w:t>
      </w:r>
      <w:r w:rsidRPr="004554A0">
        <w:rPr>
          <w:rFonts w:cstheme="minorHAnsi"/>
        </w:rPr>
        <w:t> duplicating these capabilities would result in excessive costs to the state entity.</w:t>
      </w:r>
    </w:p>
    <w:p w14:paraId="0CC796A5" w14:textId="77777777" w:rsidR="004554A0" w:rsidRPr="004554A0" w:rsidRDefault="004554A0" w:rsidP="004554A0">
      <w:pPr>
        <w:numPr>
          <w:ilvl w:val="2"/>
          <w:numId w:val="1"/>
        </w:numPr>
        <w:rPr>
          <w:rFonts w:cstheme="minorHAnsi"/>
        </w:rPr>
      </w:pPr>
      <w:r w:rsidRPr="004554A0">
        <w:rPr>
          <w:rFonts w:cstheme="minorHAnsi"/>
        </w:rPr>
        <w:t>Excessive Costs Must Be Quantified!</w:t>
      </w:r>
    </w:p>
    <w:p w14:paraId="02D2747B" w14:textId="640DC2C0" w:rsidR="004554A0" w:rsidRPr="004557F2" w:rsidRDefault="004554A0" w:rsidP="00263870">
      <w:pPr>
        <w:rPr>
          <w:rFonts w:cstheme="minorHAnsi"/>
          <w:b/>
          <w:bCs/>
        </w:rPr>
      </w:pPr>
      <w:r w:rsidRPr="004554A0">
        <w:rPr>
          <w:rFonts w:cstheme="minorHAnsi"/>
          <w:b/>
          <w:bCs/>
        </w:rPr>
        <w:t xml:space="preserve">Procurement Services </w:t>
      </w:r>
      <w:r w:rsidR="004557F2" w:rsidRPr="004557F2">
        <w:rPr>
          <w:rFonts w:cstheme="minorHAnsi"/>
          <w:b/>
          <w:bCs/>
        </w:rPr>
        <w:t>will</w:t>
      </w:r>
      <w:r w:rsidRPr="004554A0">
        <w:rPr>
          <w:rFonts w:cstheme="minorHAnsi"/>
          <w:b/>
          <w:bCs/>
        </w:rPr>
        <w:t xml:space="preserve"> decide if </w:t>
      </w:r>
      <w:r w:rsidR="004557F2" w:rsidRPr="004557F2">
        <w:rPr>
          <w:rFonts w:cstheme="minorHAnsi"/>
          <w:b/>
          <w:bCs/>
        </w:rPr>
        <w:t xml:space="preserve">a sole source </w:t>
      </w:r>
      <w:r w:rsidRPr="004554A0">
        <w:rPr>
          <w:rFonts w:cstheme="minorHAnsi"/>
          <w:b/>
          <w:bCs/>
        </w:rPr>
        <w:t>request is valid. If it is</w:t>
      </w:r>
      <w:r w:rsidR="004557F2" w:rsidRPr="004557F2">
        <w:rPr>
          <w:rFonts w:cstheme="minorHAnsi"/>
          <w:b/>
          <w:bCs/>
        </w:rPr>
        <w:t xml:space="preserve"> not</w:t>
      </w:r>
      <w:r w:rsidRPr="004554A0">
        <w:rPr>
          <w:rFonts w:cstheme="minorHAnsi"/>
          <w:b/>
          <w:bCs/>
        </w:rPr>
        <w:t xml:space="preserve"> valid, Procurement Services </w:t>
      </w:r>
      <w:r w:rsidR="004557F2" w:rsidRPr="004557F2">
        <w:rPr>
          <w:rFonts w:cstheme="minorHAnsi"/>
          <w:b/>
          <w:bCs/>
        </w:rPr>
        <w:t>will work with the requesting department to publicly post the request as an RFP or RFQ to ensure that</w:t>
      </w:r>
      <w:r w:rsidRPr="004554A0">
        <w:rPr>
          <w:rFonts w:cstheme="minorHAnsi"/>
          <w:b/>
          <w:bCs/>
        </w:rPr>
        <w:t xml:space="preserve"> all laws and regulations</w:t>
      </w:r>
      <w:r w:rsidR="004557F2" w:rsidRPr="004557F2">
        <w:rPr>
          <w:rFonts w:cstheme="minorHAnsi"/>
          <w:b/>
          <w:bCs/>
        </w:rPr>
        <w:t xml:space="preserve"> are followed.</w:t>
      </w:r>
    </w:p>
    <w:p w14:paraId="359A400A" w14:textId="263BB43C" w:rsidR="00263870" w:rsidRPr="00152463" w:rsidRDefault="008A6F62" w:rsidP="002638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Sole Source</w:t>
      </w:r>
      <w:r w:rsidR="00263870" w:rsidRPr="00152463">
        <w:rPr>
          <w:rFonts w:cstheme="minorHAnsi"/>
          <w:b/>
          <w:bCs/>
        </w:rPr>
        <w:t xml:space="preserve"> Timeline:</w:t>
      </w:r>
    </w:p>
    <w:tbl>
      <w:tblPr>
        <w:tblW w:w="6700" w:type="dxa"/>
        <w:tblLook w:val="04A0" w:firstRow="1" w:lastRow="0" w:firstColumn="1" w:lastColumn="0" w:noHBand="0" w:noVBand="1"/>
      </w:tblPr>
      <w:tblGrid>
        <w:gridCol w:w="3960"/>
        <w:gridCol w:w="2740"/>
      </w:tblGrid>
      <w:tr w:rsidR="00263870" w:rsidRPr="007A7B0F" w14:paraId="68F94BD0" w14:textId="77777777" w:rsidTr="00170318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A1C9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A7B0F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9A46" w14:textId="2C483DD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A7B0F">
              <w:rPr>
                <w:rFonts w:eastAsia="Times New Roman" w:cstheme="minorHAnsi"/>
                <w:b/>
                <w:bCs/>
                <w:color w:val="000000"/>
              </w:rPr>
              <w:t>Time*</w:t>
            </w:r>
            <w:r w:rsidR="008C10EC">
              <w:rPr>
                <w:rFonts w:eastAsia="Times New Roman" w:cstheme="minorHAnsi"/>
                <w:b/>
                <w:bCs/>
                <w:color w:val="000000"/>
              </w:rPr>
              <w:t>*</w:t>
            </w:r>
          </w:p>
        </w:tc>
      </w:tr>
      <w:tr w:rsidR="00263870" w:rsidRPr="007A7B0F" w14:paraId="344B38D8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6957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Request Must Identify Need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1554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63870" w:rsidRPr="007A7B0F" w14:paraId="39DA9904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7DBA" w14:textId="66CB93C8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Requesting Department Must Fill Out </w:t>
            </w:r>
            <w:hyperlink r:id="rId5" w:history="1">
              <w:r w:rsidRPr="0002555C">
                <w:rPr>
                  <w:rStyle w:val="Hyperlink"/>
                  <w:rFonts w:eastAsia="Times New Roman" w:cstheme="minorHAnsi"/>
                </w:rPr>
                <w:t>S</w:t>
              </w:r>
              <w:r w:rsidR="0082170D" w:rsidRPr="0002555C">
                <w:rPr>
                  <w:rStyle w:val="Hyperlink"/>
                  <w:rFonts w:eastAsia="Times New Roman" w:cstheme="minorHAnsi"/>
                </w:rPr>
                <w:t>ole Source</w:t>
              </w:r>
              <w:r w:rsidRPr="0002555C">
                <w:rPr>
                  <w:rStyle w:val="Hyperlink"/>
                  <w:rFonts w:eastAsia="Times New Roman" w:cstheme="minorHAnsi"/>
                </w:rPr>
                <w:t xml:space="preserve"> Form</w:t>
              </w:r>
            </w:hyperlink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1873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63870" w:rsidRPr="007A7B0F" w14:paraId="3E0CC158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12DC" w14:textId="3C60AB78" w:rsidR="00263870" w:rsidRPr="0002555C" w:rsidRDefault="008958FB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6" w:history="1">
              <w:r w:rsidR="00263870" w:rsidRPr="0002555C">
                <w:rPr>
                  <w:rStyle w:val="Hyperlink"/>
                  <w:rFonts w:eastAsia="Times New Roman" w:cstheme="minorHAnsi"/>
                </w:rPr>
                <w:t>Meet with Procurement Staff</w:t>
              </w:r>
            </w:hyperlink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44AE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63870" w:rsidRPr="007A7B0F" w14:paraId="2BE03EFA" w14:textId="77777777" w:rsidTr="00170318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9D6C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Requesting Department Must Allocate Funding Before Moving </w:t>
            </w:r>
            <w:r w:rsidRPr="002A1905">
              <w:rPr>
                <w:rFonts w:eastAsia="Times New Roman" w:cstheme="minorHAnsi"/>
                <w:color w:val="000000"/>
              </w:rPr>
              <w:t>into</w:t>
            </w:r>
            <w:r w:rsidRPr="007A7B0F">
              <w:rPr>
                <w:rFonts w:eastAsia="Times New Roman" w:cstheme="minorHAnsi"/>
                <w:color w:val="000000"/>
              </w:rPr>
              <w:t xml:space="preserve"> Solicitation Development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1E96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63870" w:rsidRPr="007A7B0F" w14:paraId="3BAB33D5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D888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Research</w:t>
            </w:r>
            <w:r w:rsidRPr="002A1905">
              <w:rPr>
                <w:rFonts w:eastAsia="Times New Roman" w:cstheme="minorHAnsi"/>
                <w:color w:val="000000"/>
              </w:rPr>
              <w:t>e</w:t>
            </w:r>
            <w:r w:rsidRPr="007A7B0F">
              <w:rPr>
                <w:rFonts w:eastAsia="Times New Roman" w:cstheme="minorHAnsi"/>
                <w:color w:val="000000"/>
              </w:rPr>
              <w:t xml:space="preserve">s Needed Products and/or Services to Include Reviewing Previously Developed Solicitations, </w:t>
            </w:r>
            <w:r w:rsidRPr="002A1905">
              <w:rPr>
                <w:rFonts w:eastAsia="Times New Roman" w:cstheme="minorHAnsi"/>
                <w:color w:val="000000"/>
              </w:rPr>
              <w:t xml:space="preserve">Other </w:t>
            </w:r>
            <w:r w:rsidRPr="007A7B0F">
              <w:rPr>
                <w:rFonts w:eastAsia="Times New Roman" w:cstheme="minorHAnsi"/>
                <w:color w:val="000000"/>
              </w:rPr>
              <w:t>Issuing Agency Personnel,</w:t>
            </w:r>
            <w:r w:rsidRPr="002A1905">
              <w:rPr>
                <w:rFonts w:eastAsia="Times New Roman" w:cstheme="minorHAnsi"/>
                <w:color w:val="000000"/>
              </w:rPr>
              <w:t xml:space="preserve"> Industry Standards, etc</w:t>
            </w:r>
            <w:proofErr w:type="gramStart"/>
            <w:r w:rsidRPr="002A1905">
              <w:rPr>
                <w:rFonts w:eastAsia="Times New Roman" w:cstheme="minorHAnsi"/>
                <w:color w:val="000000"/>
              </w:rPr>
              <w:t>..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BFD6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1 to 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7A7B0F">
              <w:rPr>
                <w:rFonts w:eastAsia="Times New Roman" w:cstheme="minorHAnsi"/>
                <w:color w:val="000000"/>
              </w:rPr>
              <w:t xml:space="preserve"> Weeks</w:t>
            </w:r>
          </w:p>
        </w:tc>
      </w:tr>
      <w:tr w:rsidR="00263870" w:rsidRPr="007A7B0F" w14:paraId="1AE58D66" w14:textId="77777777" w:rsidTr="00170318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129D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lastRenderedPageBreak/>
              <w:t>Procurement Department Transposes Developed Specification Information into Appropriate Documents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D37F" w14:textId="5F1BE0C5" w:rsidR="00263870" w:rsidRPr="007A7B0F" w:rsidRDefault="002F4C7F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 days</w:t>
            </w:r>
          </w:p>
        </w:tc>
      </w:tr>
      <w:tr w:rsidR="00263870" w:rsidRPr="007A7B0F" w14:paraId="1050B473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48DC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Receives Approval from Requesting Department</w:t>
            </w:r>
            <w:r>
              <w:rPr>
                <w:rFonts w:eastAsia="Times New Roman" w:cstheme="minorHAnsi"/>
                <w:color w:val="000000"/>
              </w:rPr>
              <w:t xml:space="preserve"> and Acceptance by the Requesting Department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12B6" w14:textId="77777777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F4C7F" w:rsidRPr="007A7B0F" w14:paraId="38B00923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7ECC" w14:textId="67E14853" w:rsidR="002F4C7F" w:rsidRPr="007A7B0F" w:rsidRDefault="002F4C7F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Contract Negotiation Process- Performed By Procurement Department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56F7" w14:textId="5514F56D" w:rsidR="002F4C7F" w:rsidRPr="007A7B0F" w:rsidRDefault="006B53CE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One to Two Weeks; However, Dependent Upon Bilateral Agreement of Terms</w:t>
            </w:r>
          </w:p>
        </w:tc>
      </w:tr>
      <w:tr w:rsidR="00263870" w:rsidRPr="007A7B0F" w14:paraId="0B32D1C7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5B93" w14:textId="6730044C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Publicly Posts the Solicitation</w:t>
            </w:r>
            <w:r w:rsidR="002F4C7F">
              <w:rPr>
                <w:rFonts w:eastAsia="Times New Roman" w:cstheme="minorHAnsi"/>
                <w:color w:val="000000"/>
              </w:rPr>
              <w:t xml:space="preserve"> as a </w:t>
            </w:r>
            <w:hyperlink r:id="rId7" w:history="1">
              <w:r w:rsidR="002F4C7F" w:rsidRPr="00D75A6E">
                <w:rPr>
                  <w:rStyle w:val="Hyperlink"/>
                  <w:rFonts w:eastAsia="Times New Roman" w:cstheme="minorHAnsi"/>
                </w:rPr>
                <w:t>Notice of Intent</w:t>
              </w:r>
            </w:hyperlink>
            <w:r w:rsidR="002F4C7F">
              <w:rPr>
                <w:rFonts w:eastAsia="Times New Roman" w:cstheme="minorHAnsi"/>
                <w:color w:val="000000"/>
              </w:rPr>
              <w:t xml:space="preserve"> to Award- Posted to Georgia Procurement Registry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C7EF" w14:textId="66DE3BE6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Minimum of 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7A7B0F">
              <w:rPr>
                <w:rFonts w:eastAsia="Times New Roman" w:cstheme="minorHAnsi"/>
                <w:color w:val="000000"/>
              </w:rPr>
              <w:t xml:space="preserve"> to </w:t>
            </w:r>
            <w:r w:rsidR="002F4C7F">
              <w:rPr>
                <w:rFonts w:eastAsia="Times New Roman" w:cstheme="minorHAnsi"/>
                <w:color w:val="000000"/>
              </w:rPr>
              <w:t>3</w:t>
            </w:r>
            <w:r w:rsidRPr="007A7B0F">
              <w:rPr>
                <w:rFonts w:eastAsia="Times New Roman" w:cstheme="minorHAnsi"/>
                <w:color w:val="000000"/>
              </w:rPr>
              <w:t xml:space="preserve"> Weeks</w:t>
            </w:r>
          </w:p>
        </w:tc>
      </w:tr>
      <w:tr w:rsidR="00263870" w:rsidRPr="007A7B0F" w14:paraId="2ECF34E6" w14:textId="77777777" w:rsidTr="00170318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B9B" w14:textId="69321824" w:rsidR="00263870" w:rsidRPr="007A7B0F" w:rsidRDefault="008958FB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8" w:history="1">
              <w:r w:rsidR="00263870" w:rsidRPr="00D75A6E">
                <w:rPr>
                  <w:rStyle w:val="Hyperlink"/>
                  <w:rFonts w:eastAsia="Times New Roman" w:cstheme="minorHAnsi"/>
                </w:rPr>
                <w:t>Notice of Award</w:t>
              </w:r>
            </w:hyperlink>
            <w:r w:rsidR="00263870" w:rsidRPr="007A7B0F">
              <w:rPr>
                <w:rFonts w:eastAsia="Times New Roman" w:cstheme="minorHAnsi"/>
                <w:color w:val="000000"/>
              </w:rPr>
              <w:t>- Posted to Georgia Procurement Registry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1A92" w14:textId="5C2DA449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 Day</w:t>
            </w:r>
          </w:p>
        </w:tc>
      </w:tr>
      <w:tr w:rsidR="00263870" w:rsidRPr="007A7B0F" w14:paraId="05A169B2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1792" w14:textId="68B32072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Official Signing of Contract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28D7" w14:textId="3C4C8469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1 Week </w:t>
            </w:r>
          </w:p>
        </w:tc>
      </w:tr>
      <w:tr w:rsidR="00263870" w:rsidRPr="007A7B0F" w14:paraId="2488A712" w14:textId="77777777" w:rsidTr="00170318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7DE0" w14:textId="053A2EB6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Notice to Proceed- Issuance of University Purchase Order (Contract Award)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CB4A" w14:textId="4AB8AF91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263870" w:rsidRPr="007A7B0F" w14:paraId="638ACDD9" w14:textId="77777777" w:rsidTr="00170318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CC8" w14:textId="308605FA" w:rsidR="00263870" w:rsidRPr="007A7B0F" w:rsidRDefault="00263870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Total Required Time-Frame to Issue Contract Award for Needed Products and/or Services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E3D2" w14:textId="177999EE" w:rsidR="00263870" w:rsidRPr="007A7B0F" w:rsidRDefault="006B53CE" w:rsidP="0017031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One</w:t>
            </w:r>
            <w:r w:rsidR="00263870" w:rsidRPr="007A7B0F">
              <w:rPr>
                <w:rFonts w:eastAsia="Times New Roman" w:cstheme="minorHAnsi"/>
                <w:color w:val="000000"/>
              </w:rPr>
              <w:t xml:space="preserve"> to </w:t>
            </w:r>
            <w:r w:rsidR="00263870">
              <w:rPr>
                <w:rFonts w:eastAsia="Times New Roman" w:cstheme="minorHAnsi"/>
                <w:color w:val="000000"/>
              </w:rPr>
              <w:t>T</w:t>
            </w:r>
            <w:r>
              <w:rPr>
                <w:rFonts w:eastAsia="Times New Roman" w:cstheme="minorHAnsi"/>
                <w:color w:val="000000"/>
              </w:rPr>
              <w:t>wo</w:t>
            </w:r>
            <w:r w:rsidR="00263870" w:rsidRPr="007A7B0F">
              <w:rPr>
                <w:rFonts w:eastAsia="Times New Roman" w:cstheme="minorHAnsi"/>
                <w:color w:val="000000"/>
              </w:rPr>
              <w:t xml:space="preserve"> Months</w:t>
            </w:r>
          </w:p>
        </w:tc>
      </w:tr>
    </w:tbl>
    <w:p w14:paraId="47EE268D" w14:textId="77777777" w:rsidR="008C10EC" w:rsidRDefault="008C10EC" w:rsidP="00263870"/>
    <w:p w14:paraId="2870F3F3" w14:textId="77777777" w:rsidR="008C10EC" w:rsidRDefault="008C10EC" w:rsidP="00263870"/>
    <w:p w14:paraId="3C8F564C" w14:textId="3D0E3501" w:rsidR="008C10EC" w:rsidRDefault="008C10EC" w:rsidP="00263870">
      <w:r>
        <w:t xml:space="preserve">*This is only a guide. All time-frames shown are estimates. The decision of the solicitation type and processes structure shall be solely determined by the CSU Procurement Office. </w:t>
      </w:r>
    </w:p>
    <w:p w14:paraId="29C3C9E3" w14:textId="104B8739" w:rsidR="00263870" w:rsidRPr="008C10EC" w:rsidRDefault="00263870" w:rsidP="00263870">
      <w:r w:rsidRPr="008C10EC">
        <w:t>*</w:t>
      </w:r>
      <w:r w:rsidR="008C10EC" w:rsidRPr="008C10EC">
        <w:t>*</w:t>
      </w:r>
      <w:r w:rsidRPr="008C10EC">
        <w:t>All times are contingent upon the of rate of approved and returned documents</w:t>
      </w:r>
    </w:p>
    <w:p w14:paraId="0E6AE32F" w14:textId="77777777" w:rsidR="00263870" w:rsidRPr="00263870" w:rsidRDefault="00263870" w:rsidP="00263870">
      <w:pPr>
        <w:rPr>
          <w:b/>
          <w:bCs/>
          <w:sz w:val="28"/>
          <w:szCs w:val="28"/>
        </w:rPr>
      </w:pPr>
    </w:p>
    <w:sectPr w:rsidR="00263870" w:rsidRPr="0026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6C46"/>
    <w:multiLevelType w:val="hybridMultilevel"/>
    <w:tmpl w:val="2E42EF1E"/>
    <w:lvl w:ilvl="0" w:tplc="DD00E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C4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834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E79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A9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5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2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E7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AC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70"/>
    <w:rsid w:val="0002555C"/>
    <w:rsid w:val="00263870"/>
    <w:rsid w:val="002F4C7F"/>
    <w:rsid w:val="004476EC"/>
    <w:rsid w:val="004554A0"/>
    <w:rsid w:val="004557F2"/>
    <w:rsid w:val="006B2AE1"/>
    <w:rsid w:val="006B53CE"/>
    <w:rsid w:val="006F1088"/>
    <w:rsid w:val="0082170D"/>
    <w:rsid w:val="0085658C"/>
    <w:rsid w:val="008958FB"/>
    <w:rsid w:val="008A6F62"/>
    <w:rsid w:val="008C10EC"/>
    <w:rsid w:val="008D3103"/>
    <w:rsid w:val="00BE28B6"/>
    <w:rsid w:val="00CD1D14"/>
    <w:rsid w:val="00D30C4A"/>
    <w:rsid w:val="00D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FD7F"/>
  <w15:chartTrackingRefBased/>
  <w15:docId w15:val="{FE82AD87-E04F-41B8-B520-F5F21734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popup">
    <w:name w:val="mcpopup"/>
    <w:basedOn w:val="DefaultParagraphFont"/>
    <w:rsid w:val="00263870"/>
  </w:style>
  <w:style w:type="character" w:styleId="Hyperlink">
    <w:name w:val="Hyperlink"/>
    <w:basedOn w:val="DefaultParagraphFont"/>
    <w:uiPriority w:val="99"/>
    <w:unhideWhenUsed/>
    <w:rsid w:val="00263870"/>
    <w:rPr>
      <w:color w:val="0000FF"/>
      <w:u w:val="single"/>
    </w:rPr>
  </w:style>
  <w:style w:type="character" w:customStyle="1" w:styleId="searchhighlight2">
    <w:name w:val="searchhighlight2"/>
    <w:basedOn w:val="DefaultParagraphFont"/>
    <w:rsid w:val="0026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148">
          <w:marLeft w:val="77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106">
          <w:marLeft w:val="168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74">
          <w:marLeft w:val="168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419">
          <w:marLeft w:val="168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67">
          <w:marLeft w:val="25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771">
          <w:marLeft w:val="168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s.ga.gov/state-purchasing/seven-stages-of-procurement/all-7-sta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yton.edu/procurement/docs/sole_source_brand_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as.ga.gov/state-purchasing/seven-stages-of-procurement/all-7-stages" TargetMode="External"/><Relationship Id="rId5" Type="http://schemas.openxmlformats.org/officeDocument/2006/relationships/hyperlink" Target="https://www.clayton.edu/procurement/docs/sole_source_brand_form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Shiver</dc:creator>
  <cp:keywords/>
  <dc:description/>
  <cp:lastModifiedBy>Matthew Shiver</cp:lastModifiedBy>
  <cp:revision>12</cp:revision>
  <dcterms:created xsi:type="dcterms:W3CDTF">2022-03-14T20:27:00Z</dcterms:created>
  <dcterms:modified xsi:type="dcterms:W3CDTF">2022-03-15T19:08:00Z</dcterms:modified>
</cp:coreProperties>
</file>