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F9" w:rsidRDefault="0020465E" w:rsidP="00A576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7809">
        <w:rPr>
          <w:b/>
          <w:sz w:val="28"/>
          <w:szCs w:val="28"/>
        </w:rPr>
        <w:t>Division</w:t>
      </w:r>
      <w:r w:rsidR="00F5368D" w:rsidRPr="00AD7809">
        <w:rPr>
          <w:b/>
          <w:sz w:val="28"/>
          <w:szCs w:val="28"/>
        </w:rPr>
        <w:t xml:space="preserve"> </w:t>
      </w:r>
      <w:r w:rsidR="004A6DE0" w:rsidRPr="00AD7809">
        <w:rPr>
          <w:b/>
          <w:sz w:val="28"/>
          <w:szCs w:val="28"/>
        </w:rPr>
        <w:t xml:space="preserve">of Student Affairs </w:t>
      </w:r>
      <w:r w:rsidR="00F5368D" w:rsidRPr="00AD7809">
        <w:rPr>
          <w:b/>
          <w:sz w:val="28"/>
          <w:szCs w:val="28"/>
        </w:rPr>
        <w:t>Goals</w:t>
      </w:r>
      <w:r w:rsidR="00AD7809" w:rsidRPr="00AD7809">
        <w:rPr>
          <w:b/>
          <w:sz w:val="28"/>
          <w:szCs w:val="28"/>
        </w:rPr>
        <w:t xml:space="preserve"> and Objectives</w:t>
      </w:r>
      <w:r w:rsidR="00163F4D">
        <w:rPr>
          <w:b/>
          <w:sz w:val="28"/>
          <w:szCs w:val="28"/>
        </w:rPr>
        <w:t xml:space="preserve"> </w:t>
      </w:r>
      <w:r w:rsidR="007270DF">
        <w:rPr>
          <w:b/>
          <w:sz w:val="28"/>
          <w:szCs w:val="28"/>
        </w:rPr>
        <w:t>2015-2016</w:t>
      </w:r>
    </w:p>
    <w:p w:rsidR="006602EE" w:rsidRPr="00AD7809" w:rsidRDefault="006602EE" w:rsidP="00A576A0">
      <w:pPr>
        <w:jc w:val="center"/>
        <w:rPr>
          <w:b/>
          <w:sz w:val="28"/>
          <w:szCs w:val="28"/>
        </w:rPr>
      </w:pPr>
    </w:p>
    <w:p w:rsidR="00622BE7" w:rsidRDefault="00622BE7" w:rsidP="00A576A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9294F" w:rsidRPr="003A0BB2" w:rsidTr="00A576A0">
        <w:trPr>
          <w:trHeight w:val="629"/>
        </w:trPr>
        <w:tc>
          <w:tcPr>
            <w:tcW w:w="9468" w:type="dxa"/>
            <w:shd w:val="clear" w:color="auto" w:fill="F2F2F2" w:themeFill="background1" w:themeFillShade="F2"/>
          </w:tcPr>
          <w:p w:rsidR="00B50695" w:rsidRDefault="00B50695" w:rsidP="00000658">
            <w:pPr>
              <w:rPr>
                <w:rFonts w:cs="Arial"/>
                <w:b/>
              </w:rPr>
            </w:pPr>
          </w:p>
          <w:p w:rsidR="00B50695" w:rsidRPr="00B50695" w:rsidRDefault="00B50695" w:rsidP="00B5069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984108">
              <w:rPr>
                <w:rFonts w:ascii="Arial" w:hAnsi="Arial" w:cs="Arial"/>
                <w:b/>
                <w:sz w:val="22"/>
                <w:szCs w:val="22"/>
              </w:rPr>
              <w:t>nhance student learning experiences by providing quality programs, services, and initiatives that prom</w:t>
            </w:r>
            <w:r>
              <w:rPr>
                <w:rFonts w:ascii="Arial" w:hAnsi="Arial" w:cs="Arial"/>
                <w:b/>
                <w:sz w:val="22"/>
                <w:szCs w:val="22"/>
              </w:rPr>
              <w:t>ote overall student development.</w:t>
            </w:r>
          </w:p>
          <w:p w:rsidR="00A576A0" w:rsidRPr="0020465E" w:rsidRDefault="00A576A0" w:rsidP="00A576A0">
            <w:pPr>
              <w:pStyle w:val="Default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000658" w:rsidP="00000658">
            <w:pPr>
              <w:pStyle w:val="ListParagraph"/>
              <w:numPr>
                <w:ilvl w:val="0"/>
                <w:numId w:val="34"/>
              </w:numPr>
            </w:pPr>
            <w:r>
              <w:rPr>
                <w:rFonts w:cs="Arial"/>
              </w:rPr>
              <w:t xml:space="preserve">Implement improved </w:t>
            </w:r>
            <w:r w:rsidRPr="00000658">
              <w:rPr>
                <w:rFonts w:cs="Arial"/>
              </w:rPr>
              <w:t>data collection processes</w:t>
            </w:r>
            <w:r>
              <w:rPr>
                <w:rFonts w:cs="Arial"/>
              </w:rPr>
              <w:t xml:space="preserve"> within Division of Student Affairs’</w:t>
            </w:r>
            <w:r w:rsidRPr="00000658">
              <w:rPr>
                <w:rFonts w:cs="Arial"/>
              </w:rPr>
              <w:t xml:space="preserve"> departments to identify students being served by Student Affairs</w:t>
            </w:r>
            <w:r w:rsidR="00C45DF0">
              <w:rPr>
                <w:rFonts w:cs="Arial"/>
              </w:rPr>
              <w:t xml:space="preserve"> and the</w:t>
            </w:r>
            <w:r w:rsidR="00605460">
              <w:rPr>
                <w:rFonts w:cs="Arial"/>
              </w:rPr>
              <w:t>ir level of engagement on campus</w:t>
            </w:r>
          </w:p>
          <w:p w:rsidR="006602EE" w:rsidRPr="00000658" w:rsidRDefault="006602EE" w:rsidP="006602EE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954FB6" w:rsidRPr="00DC5AC6" w:rsidRDefault="00954FB6" w:rsidP="00DC5AC6">
            <w:pPr>
              <w:pStyle w:val="ListParagraph"/>
              <w:numPr>
                <w:ilvl w:val="0"/>
                <w:numId w:val="34"/>
              </w:numPr>
            </w:pPr>
            <w:r w:rsidRPr="00DC5AC6">
              <w:rPr>
                <w:rFonts w:cs="Arial"/>
              </w:rPr>
              <w:t>Use the Student Success Collaborative software to identify specific objectives as appropriate to increas</w:t>
            </w:r>
            <w:r w:rsidR="00605460">
              <w:rPr>
                <w:rFonts w:cs="Arial"/>
              </w:rPr>
              <w:t>e student retention and success</w:t>
            </w:r>
          </w:p>
          <w:p w:rsidR="00A576A0" w:rsidRDefault="00A576A0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Pr="00DC5AC6" w:rsidRDefault="00DC5AC6" w:rsidP="00A576A0">
            <w:pPr>
              <w:pStyle w:val="ListParagraph"/>
              <w:numPr>
                <w:ilvl w:val="0"/>
                <w:numId w:val="34"/>
              </w:numPr>
            </w:pPr>
            <w:r w:rsidRPr="00DC5AC6">
              <w:t>Engage faculty and staff across campus to identify and implement effective ways to promote student learning and engagement</w:t>
            </w:r>
          </w:p>
          <w:p w:rsidR="0049294F" w:rsidRPr="00A97197" w:rsidRDefault="0049294F" w:rsidP="00A576A0">
            <w:pPr>
              <w:pStyle w:val="ListParagraph"/>
              <w:ind w:left="360"/>
            </w:pPr>
          </w:p>
        </w:tc>
      </w:tr>
      <w:tr w:rsidR="0049294F" w:rsidRPr="003A0BB2" w:rsidTr="00A97197">
        <w:trPr>
          <w:trHeight w:val="253"/>
        </w:trPr>
        <w:tc>
          <w:tcPr>
            <w:tcW w:w="9468" w:type="dxa"/>
            <w:shd w:val="clear" w:color="auto" w:fill="auto"/>
          </w:tcPr>
          <w:p w:rsidR="0049294F" w:rsidRPr="00A97197" w:rsidRDefault="00DC5AC6" w:rsidP="00605460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Engage studen</w:t>
            </w:r>
            <w:r w:rsidR="00385169">
              <w:rPr>
                <w:rFonts w:cs="Arial"/>
              </w:rPr>
              <w:t xml:space="preserve">ts and student organizations </w:t>
            </w:r>
            <w:r w:rsidR="00605460">
              <w:rPr>
                <w:rFonts w:cs="Arial"/>
              </w:rPr>
              <w:t>with experiences that effectively meet the objectives of the Division’s targeted learning outcome themes (priorities)</w:t>
            </w:r>
          </w:p>
        </w:tc>
      </w:tr>
      <w:tr w:rsidR="00992610" w:rsidRPr="003A0BB2" w:rsidTr="00A97197">
        <w:trPr>
          <w:trHeight w:val="253"/>
        </w:trPr>
        <w:tc>
          <w:tcPr>
            <w:tcW w:w="9468" w:type="dxa"/>
            <w:shd w:val="clear" w:color="auto" w:fill="auto"/>
          </w:tcPr>
          <w:p w:rsidR="00992610" w:rsidRPr="00A97197" w:rsidRDefault="007D23A4" w:rsidP="00DC5AC6">
            <w:pPr>
              <w:pStyle w:val="ListParagraph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Develop a template for departments to use to engage student assistants and interns to articulate and expound on generalizable skills for represent</w:t>
            </w:r>
            <w:r w:rsidR="00605460">
              <w:rPr>
                <w:rFonts w:cs="Arial"/>
              </w:rPr>
              <w:t>ing what they know and can do for potential and future employers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</w:tcPr>
          <w:p w:rsidR="0049294F" w:rsidRPr="00CE6FF9" w:rsidRDefault="0049294F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49294F" w:rsidRPr="00BC1FF6" w:rsidRDefault="0049294F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BC1FF6">
              <w:rPr>
                <w:rFonts w:ascii="Arial" w:hAnsi="Arial" w:cs="Arial"/>
                <w:b/>
                <w:sz w:val="22"/>
                <w:szCs w:val="22"/>
              </w:rPr>
              <w:t>Develop collaborations/partnerships throughout the University and across the Division to adva</w:t>
            </w:r>
            <w:r w:rsidR="00385169">
              <w:rPr>
                <w:rFonts w:ascii="Arial" w:hAnsi="Arial" w:cs="Arial"/>
                <w:b/>
                <w:sz w:val="22"/>
                <w:szCs w:val="22"/>
              </w:rPr>
              <w:t>nce the mission of the University</w:t>
            </w:r>
          </w:p>
          <w:p w:rsidR="0049294F" w:rsidRDefault="0049294F" w:rsidP="00A576A0">
            <w:pPr>
              <w:pStyle w:val="ListParagraph"/>
              <w:ind w:left="360"/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385169" w:rsidP="00A576A0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In collaboration with Academic Affairs</w:t>
            </w:r>
            <w:r w:rsidR="0060546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605460">
              <w:rPr>
                <w:rFonts w:cs="Arial"/>
              </w:rPr>
              <w:t>c</w:t>
            </w:r>
            <w:r w:rsidR="00EA0F18">
              <w:rPr>
                <w:rFonts w:cs="Arial"/>
              </w:rPr>
              <w:t>ontinue implementation of</w:t>
            </w:r>
            <w:r w:rsidR="0053234B">
              <w:rPr>
                <w:rFonts w:cs="Arial"/>
              </w:rPr>
              <w:t xml:space="preserve"> the</w:t>
            </w:r>
            <w:r w:rsidR="00EA0F18">
              <w:rPr>
                <w:rFonts w:cs="Arial"/>
              </w:rPr>
              <w:t xml:space="preserve"> EDGE (Exploration Discovery Goal-Setting Experience) initiative designed to increase student participation in career awareness </w:t>
            </w:r>
            <w:r w:rsidR="00605460">
              <w:rPr>
                <w:rFonts w:cs="Arial"/>
              </w:rPr>
              <w:t>as well as</w:t>
            </w:r>
            <w:r w:rsidR="00EA0F18">
              <w:rPr>
                <w:rFonts w:cs="Arial"/>
              </w:rPr>
              <w:t xml:space="preserve"> internship</w:t>
            </w:r>
            <w:r w:rsidR="00605460">
              <w:rPr>
                <w:rFonts w:cs="Arial"/>
              </w:rPr>
              <w:t>, extra-curricular and leadership</w:t>
            </w:r>
            <w:r w:rsidR="00EA0F18">
              <w:rPr>
                <w:rFonts w:cs="Arial"/>
              </w:rPr>
              <w:t xml:space="preserve"> opportunities</w:t>
            </w:r>
          </w:p>
          <w:p w:rsidR="0049294F" w:rsidRPr="00452D96" w:rsidRDefault="0049294F" w:rsidP="00452D96">
            <w:pPr>
              <w:rPr>
                <w:rFonts w:cs="Arial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9656EE" w:rsidRPr="00DC5AC6" w:rsidRDefault="009656EE" w:rsidP="00DC5AC6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 w:rsidRPr="00DC5AC6">
              <w:rPr>
                <w:rFonts w:cs="Arial"/>
              </w:rPr>
              <w:t xml:space="preserve">Partner with Alumni Relations to develop </w:t>
            </w:r>
            <w:r w:rsidR="00605460">
              <w:rPr>
                <w:rFonts w:cs="Arial"/>
              </w:rPr>
              <w:t>a systematic process</w:t>
            </w:r>
            <w:r w:rsidRPr="00DC5AC6">
              <w:rPr>
                <w:rFonts w:cs="Arial"/>
              </w:rPr>
              <w:t xml:space="preserve"> to </w:t>
            </w:r>
            <w:r w:rsidR="00605460">
              <w:rPr>
                <w:rFonts w:cs="Arial"/>
              </w:rPr>
              <w:t xml:space="preserve">engage and </w:t>
            </w:r>
            <w:r w:rsidRPr="00DC5AC6">
              <w:rPr>
                <w:rFonts w:cs="Arial"/>
              </w:rPr>
              <w:t xml:space="preserve">transition students </w:t>
            </w:r>
            <w:r w:rsidR="00DC5AC6">
              <w:rPr>
                <w:rFonts w:cs="Arial"/>
              </w:rPr>
              <w:t xml:space="preserve">in affinity groups </w:t>
            </w:r>
            <w:r w:rsidRPr="00DC5AC6">
              <w:rPr>
                <w:rFonts w:cs="Arial"/>
              </w:rPr>
              <w:t>fr</w:t>
            </w:r>
            <w:r w:rsidR="00605460">
              <w:rPr>
                <w:rFonts w:cs="Arial"/>
              </w:rPr>
              <w:t>o</w:t>
            </w:r>
            <w:r w:rsidRPr="00DC5AC6">
              <w:rPr>
                <w:rFonts w:cs="Arial"/>
              </w:rPr>
              <w:t>m student to alumni</w:t>
            </w:r>
          </w:p>
          <w:p w:rsidR="00A576A0" w:rsidRPr="00A576A0" w:rsidRDefault="00A576A0" w:rsidP="00A576A0">
            <w:pPr>
              <w:rPr>
                <w:rFonts w:cs="Arial"/>
              </w:rPr>
            </w:pPr>
          </w:p>
        </w:tc>
      </w:tr>
      <w:tr w:rsidR="00222E52" w:rsidRPr="003A0BB2" w:rsidTr="009814FB">
        <w:trPr>
          <w:trHeight w:val="253"/>
        </w:trPr>
        <w:tc>
          <w:tcPr>
            <w:tcW w:w="9468" w:type="dxa"/>
          </w:tcPr>
          <w:p w:rsidR="00332336" w:rsidRDefault="00222E52" w:rsidP="00332336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Identify and implement ways to use resources and knowledge more effectively among units within Student Affairs in</w:t>
            </w:r>
            <w:r w:rsidR="00A97197">
              <w:rPr>
                <w:rFonts w:cs="Arial"/>
              </w:rPr>
              <w:t xml:space="preserve"> order to better serve students</w:t>
            </w:r>
          </w:p>
          <w:p w:rsidR="00040598" w:rsidRPr="00DC5AC6" w:rsidRDefault="00DC5AC6" w:rsidP="00040598">
            <w:pPr>
              <w:pStyle w:val="ListParagraph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040598" w:rsidRPr="00DC5AC6">
              <w:rPr>
                <w:rFonts w:cs="Arial"/>
              </w:rPr>
              <w:t>Assess effectiveness of Division calendar</w:t>
            </w:r>
          </w:p>
          <w:p w:rsidR="00332336" w:rsidRPr="00332336" w:rsidRDefault="00040598" w:rsidP="00040598">
            <w:pPr>
              <w:pStyle w:val="ListParagraph"/>
              <w:ind w:left="360"/>
              <w:rPr>
                <w:rFonts w:cs="Arial"/>
              </w:rPr>
            </w:pPr>
            <w:r w:rsidRPr="00DC5AC6">
              <w:rPr>
                <w:rFonts w:cs="Arial"/>
              </w:rPr>
              <w:t xml:space="preserve">        Develop a collaborative planning and programming model across the Division</w:t>
            </w:r>
          </w:p>
          <w:p w:rsidR="00222E52" w:rsidRPr="00D04E08" w:rsidRDefault="00222E52" w:rsidP="00222E52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2A024C" w:rsidRDefault="00332336" w:rsidP="00D04E08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Continue </w:t>
            </w:r>
            <w:r w:rsidR="00605460">
              <w:rPr>
                <w:rFonts w:cs="Arial"/>
              </w:rPr>
              <w:t>to support</w:t>
            </w:r>
            <w:r w:rsidR="00727F72">
              <w:rPr>
                <w:rFonts w:cs="Arial"/>
              </w:rPr>
              <w:t xml:space="preserve"> the Campus Sexual Violence Prevention Im</w:t>
            </w:r>
            <w:r w:rsidR="00A97197">
              <w:rPr>
                <w:rFonts w:cs="Arial"/>
              </w:rPr>
              <w:t>plementation Steering Committee</w:t>
            </w:r>
            <w:r>
              <w:rPr>
                <w:rFonts w:cs="Arial"/>
              </w:rPr>
              <w:t xml:space="preserve">; </w:t>
            </w:r>
            <w:r w:rsidRPr="00DC5AC6">
              <w:rPr>
                <w:rFonts w:cs="Arial"/>
              </w:rPr>
              <w:t>lead</w:t>
            </w:r>
            <w:r w:rsidR="00605460">
              <w:rPr>
                <w:rFonts w:cs="Arial"/>
              </w:rPr>
              <w:t>ing the</w:t>
            </w:r>
            <w:r w:rsidRPr="00DC5AC6">
              <w:rPr>
                <w:rFonts w:cs="Arial"/>
              </w:rPr>
              <w:t xml:space="preserve"> </w:t>
            </w:r>
            <w:proofErr w:type="spellStart"/>
            <w:r w:rsidRPr="00DC5AC6">
              <w:rPr>
                <w:rFonts w:cs="Arial"/>
              </w:rPr>
              <w:t>Everfi</w:t>
            </w:r>
            <w:proofErr w:type="spellEnd"/>
            <w:r w:rsidRPr="00DC5AC6">
              <w:rPr>
                <w:rFonts w:cs="Arial"/>
              </w:rPr>
              <w:t>/Haven efforts with students</w:t>
            </w:r>
            <w:r w:rsidR="00605460">
              <w:rPr>
                <w:rFonts w:cs="Arial"/>
              </w:rPr>
              <w:t xml:space="preserve"> and</w:t>
            </w:r>
            <w:r w:rsidRPr="00DC5AC6">
              <w:rPr>
                <w:rFonts w:cs="Arial"/>
              </w:rPr>
              <w:t>; advanc</w:t>
            </w:r>
            <w:r w:rsidR="00605460">
              <w:rPr>
                <w:rFonts w:cs="Arial"/>
              </w:rPr>
              <w:t>ing</w:t>
            </w:r>
            <w:r w:rsidRPr="00DC5AC6">
              <w:rPr>
                <w:rFonts w:cs="Arial"/>
              </w:rPr>
              <w:t xml:space="preserve"> bystander intervention</w:t>
            </w:r>
          </w:p>
          <w:p w:rsidR="006602EE" w:rsidRPr="00D04E08" w:rsidRDefault="006602EE" w:rsidP="006602EE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DC5AC6" w:rsidRPr="003A0BB2" w:rsidTr="0049294F">
        <w:trPr>
          <w:trHeight w:val="253"/>
        </w:trPr>
        <w:tc>
          <w:tcPr>
            <w:tcW w:w="9468" w:type="dxa"/>
          </w:tcPr>
          <w:p w:rsidR="00DC5AC6" w:rsidRDefault="0046540C" w:rsidP="00D04E08">
            <w:pPr>
              <w:pStyle w:val="ListParagraph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Implement Corporate Communications Collaboration in conjunction with Academic Affairs and University Advancement</w:t>
            </w: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  <w:shd w:val="clear" w:color="auto" w:fill="F2F2F2" w:themeFill="background1" w:themeFillShade="F2"/>
            <w:vAlign w:val="center"/>
          </w:tcPr>
          <w:p w:rsidR="0049294F" w:rsidRDefault="0049294F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294F" w:rsidRDefault="0049294F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984108">
              <w:rPr>
                <w:rFonts w:ascii="Arial" w:hAnsi="Arial" w:cs="Arial"/>
                <w:b/>
                <w:sz w:val="22"/>
                <w:szCs w:val="22"/>
              </w:rPr>
              <w:t>nsure that each department has resources to support its vision, mission, applicable standa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rds, and </w:t>
            </w:r>
            <w:r w:rsidR="00605460">
              <w:rPr>
                <w:rFonts w:ascii="Arial" w:hAnsi="Arial" w:cs="Arial"/>
                <w:b/>
                <w:sz w:val="22"/>
                <w:szCs w:val="22"/>
              </w:rPr>
              <w:t>effectiveness within the Division and University</w:t>
            </w:r>
          </w:p>
          <w:p w:rsidR="0049294F" w:rsidRPr="004A6DE0" w:rsidRDefault="0049294F" w:rsidP="00A576A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294F" w:rsidRPr="003A0BB2" w:rsidTr="0049294F">
        <w:trPr>
          <w:trHeight w:val="253"/>
        </w:trPr>
        <w:tc>
          <w:tcPr>
            <w:tcW w:w="9468" w:type="dxa"/>
          </w:tcPr>
          <w:p w:rsidR="0049294F" w:rsidRDefault="001873DE" w:rsidP="00A576A0">
            <w:pPr>
              <w:pStyle w:val="ListParagraph"/>
              <w:numPr>
                <w:ilvl w:val="0"/>
                <w:numId w:val="18"/>
              </w:numPr>
            </w:pPr>
            <w:r>
              <w:t xml:space="preserve">Identify Division and departmental </w:t>
            </w:r>
            <w:r w:rsidR="0053234B">
              <w:t xml:space="preserve">budget </w:t>
            </w:r>
            <w:r>
              <w:t xml:space="preserve">needs to determine </w:t>
            </w:r>
            <w:r w:rsidR="00605460">
              <w:t xml:space="preserve">opportunities for grant submission and </w:t>
            </w:r>
            <w:r>
              <w:t xml:space="preserve">requests </w:t>
            </w:r>
            <w:r w:rsidR="00605460">
              <w:t>for</w:t>
            </w:r>
            <w:r>
              <w:t xml:space="preserve"> the Planning and Budget Advisory Council</w:t>
            </w:r>
          </w:p>
          <w:p w:rsidR="0049294F" w:rsidRPr="008F072B" w:rsidRDefault="0049294F" w:rsidP="00A576A0">
            <w:pPr>
              <w:pStyle w:val="ListParagraph"/>
              <w:ind w:left="360"/>
            </w:pPr>
          </w:p>
        </w:tc>
      </w:tr>
      <w:tr w:rsidR="0049294F" w:rsidRPr="003A0BB2" w:rsidTr="0049294F">
        <w:tc>
          <w:tcPr>
            <w:tcW w:w="9468" w:type="dxa"/>
          </w:tcPr>
          <w:p w:rsidR="009656EE" w:rsidRDefault="007049D7" w:rsidP="000F1D79">
            <w:pPr>
              <w:pStyle w:val="ListParagraph"/>
              <w:numPr>
                <w:ilvl w:val="0"/>
                <w:numId w:val="18"/>
              </w:numPr>
            </w:pPr>
            <w:r w:rsidRPr="000F1D79">
              <w:lastRenderedPageBreak/>
              <w:t xml:space="preserve">Further define potential </w:t>
            </w:r>
            <w:r w:rsidR="00385169">
              <w:t xml:space="preserve">development plan/goals and </w:t>
            </w:r>
            <w:r w:rsidRPr="000F1D79">
              <w:t>donor sources for Student Affairs</w:t>
            </w:r>
            <w:r w:rsidR="000F1D79" w:rsidRPr="000F1D79">
              <w:t xml:space="preserve"> in conjunction with University Advancement</w:t>
            </w:r>
          </w:p>
          <w:p w:rsidR="000F1D79" w:rsidRPr="000F1D79" w:rsidRDefault="000F1D79" w:rsidP="000F1D79">
            <w:pPr>
              <w:pStyle w:val="ListParagraph"/>
              <w:ind w:left="360"/>
            </w:pPr>
            <w:r>
              <w:t xml:space="preserve">            Establish Parent &amp; Families Association and develop plans for next 3-5 years</w:t>
            </w:r>
          </w:p>
          <w:p w:rsidR="00A576A0" w:rsidRPr="008F072B" w:rsidRDefault="00322BBA" w:rsidP="00BB2E15">
            <w:pPr>
              <w:pStyle w:val="ListParagraph"/>
              <w:ind w:left="360"/>
            </w:pPr>
            <w:r w:rsidRPr="00C10DFB">
              <w:rPr>
                <w:highlight w:val="yellow"/>
              </w:rPr>
              <w:t xml:space="preserve">      </w:t>
            </w:r>
          </w:p>
        </w:tc>
      </w:tr>
      <w:tr w:rsidR="0049294F" w:rsidRPr="003A0BB2" w:rsidTr="0049294F">
        <w:tc>
          <w:tcPr>
            <w:tcW w:w="9468" w:type="dxa"/>
          </w:tcPr>
          <w:p w:rsidR="0049294F" w:rsidRPr="000F1D79" w:rsidRDefault="0049294F" w:rsidP="00A576A0">
            <w:pPr>
              <w:pStyle w:val="ListParagraph"/>
              <w:numPr>
                <w:ilvl w:val="0"/>
                <w:numId w:val="18"/>
              </w:numPr>
            </w:pPr>
            <w:r w:rsidRPr="000F1D79">
              <w:t xml:space="preserve">Work with </w:t>
            </w:r>
            <w:r w:rsidR="00332336" w:rsidRPr="000F1D79">
              <w:t xml:space="preserve">University Advancement (Corporate and Foundation Relations) to identify and submit </w:t>
            </w:r>
            <w:r w:rsidR="000F1D79" w:rsidRPr="000F1D79">
              <w:t xml:space="preserve">2 </w:t>
            </w:r>
            <w:r w:rsidR="00332336" w:rsidRPr="000F1D79">
              <w:t>proposals for funding to advance Division/student initiatives</w:t>
            </w:r>
          </w:p>
          <w:p w:rsidR="00A576A0" w:rsidRPr="008F072B" w:rsidRDefault="00A576A0" w:rsidP="00A576A0"/>
        </w:tc>
      </w:tr>
      <w:tr w:rsidR="0049294F" w:rsidRPr="003A0BB2" w:rsidTr="0049294F">
        <w:tc>
          <w:tcPr>
            <w:tcW w:w="9468" w:type="dxa"/>
            <w:shd w:val="clear" w:color="auto" w:fill="F2F2F2" w:themeFill="background1" w:themeFillShade="F2"/>
          </w:tcPr>
          <w:p w:rsidR="0049294F" w:rsidRDefault="0049294F" w:rsidP="00A576A0">
            <w:pPr>
              <w:rPr>
                <w:b/>
              </w:rPr>
            </w:pPr>
          </w:p>
          <w:p w:rsidR="0049294F" w:rsidRDefault="0049294F" w:rsidP="00A576A0">
            <w:pPr>
              <w:rPr>
                <w:b/>
              </w:rPr>
            </w:pPr>
            <w:r>
              <w:rPr>
                <w:b/>
              </w:rPr>
              <w:t>E</w:t>
            </w:r>
            <w:r w:rsidRPr="004A6DE0">
              <w:rPr>
                <w:b/>
              </w:rPr>
              <w:t>nhance communication efforts designed to further increase University awareness of the Division, its departments, and initiativ</w:t>
            </w:r>
            <w:r>
              <w:rPr>
                <w:b/>
              </w:rPr>
              <w:t xml:space="preserve">es </w:t>
            </w:r>
          </w:p>
          <w:p w:rsidR="0049294F" w:rsidRPr="004A6DE0" w:rsidRDefault="0049294F" w:rsidP="00A576A0">
            <w:pPr>
              <w:rPr>
                <w:b/>
              </w:rPr>
            </w:pPr>
          </w:p>
        </w:tc>
      </w:tr>
      <w:tr w:rsidR="00CA2FF8" w:rsidRPr="003A0BB2" w:rsidTr="00D97148">
        <w:tc>
          <w:tcPr>
            <w:tcW w:w="9468" w:type="dxa"/>
          </w:tcPr>
          <w:p w:rsidR="00CA2FF8" w:rsidRDefault="00D43935" w:rsidP="00D97148">
            <w:pPr>
              <w:pStyle w:val="ListParagraph"/>
              <w:numPr>
                <w:ilvl w:val="0"/>
                <w:numId w:val="37"/>
              </w:numPr>
            </w:pPr>
            <w:r>
              <w:t>Complete Student Affairs departmental website revisions according to master schedule.</w:t>
            </w:r>
          </w:p>
          <w:p w:rsidR="00CA2FF8" w:rsidRDefault="00CA2FF8" w:rsidP="00D97148"/>
        </w:tc>
      </w:tr>
      <w:tr w:rsidR="00C80F99" w:rsidRPr="003A0BB2" w:rsidTr="00D97148">
        <w:tc>
          <w:tcPr>
            <w:tcW w:w="9468" w:type="dxa"/>
          </w:tcPr>
          <w:p w:rsidR="00C80F99" w:rsidRDefault="00D43935" w:rsidP="00C80F99">
            <w:pPr>
              <w:pStyle w:val="ListParagraph"/>
              <w:numPr>
                <w:ilvl w:val="0"/>
                <w:numId w:val="37"/>
              </w:numPr>
            </w:pPr>
            <w:r>
              <w:t>Consistent with institutional policies and procedures, develop, launch and grow social media platforms to communicate with students regarding Division programs and services.</w:t>
            </w:r>
          </w:p>
          <w:p w:rsidR="00D43935" w:rsidRDefault="00D43935" w:rsidP="00D43935">
            <w:pPr>
              <w:pStyle w:val="ListParagraph"/>
              <w:ind w:left="360"/>
            </w:pPr>
            <w:r>
              <w:t xml:space="preserve">        Have 250 distinct followers by the end of Fall semester 2015.</w:t>
            </w:r>
          </w:p>
          <w:p w:rsidR="00D43935" w:rsidRDefault="00D43935" w:rsidP="00D43935">
            <w:pPr>
              <w:pStyle w:val="ListParagraph"/>
              <w:ind w:left="360"/>
            </w:pPr>
            <w:r>
              <w:t xml:space="preserve">        Ensure consistent, creative and fresh social media content.</w:t>
            </w:r>
          </w:p>
          <w:p w:rsidR="00D43935" w:rsidRDefault="00D43935" w:rsidP="00D43935">
            <w:pPr>
              <w:pStyle w:val="ListParagraph"/>
              <w:ind w:left="360"/>
            </w:pPr>
            <w:r>
              <w:t xml:space="preserve">        Enlist student leaders to market and promote social media efforts.</w:t>
            </w:r>
          </w:p>
          <w:p w:rsidR="00C80F99" w:rsidRDefault="00C80F99" w:rsidP="00C80F99">
            <w:pPr>
              <w:pStyle w:val="ListParagraph"/>
              <w:ind w:left="360"/>
            </w:pPr>
          </w:p>
        </w:tc>
      </w:tr>
      <w:tr w:rsidR="0049294F" w:rsidRPr="003A0BB2" w:rsidTr="0049294F">
        <w:tc>
          <w:tcPr>
            <w:tcW w:w="9468" w:type="dxa"/>
          </w:tcPr>
          <w:p w:rsidR="00B1668E" w:rsidRDefault="00D43935" w:rsidP="00B1668E">
            <w:pPr>
              <w:pStyle w:val="ListParagraph"/>
              <w:numPr>
                <w:ilvl w:val="0"/>
                <w:numId w:val="37"/>
              </w:numPr>
            </w:pPr>
            <w:r>
              <w:t>Enhance communication of Division goals and accomplishments through an online web-design packaging to display the Division’s annual report (using charts, figures, testimonials, short narratives, etc.).</w:t>
            </w:r>
          </w:p>
          <w:p w:rsidR="00A576A0" w:rsidRDefault="00A576A0" w:rsidP="00A576A0"/>
        </w:tc>
      </w:tr>
      <w:tr w:rsidR="0049294F" w:rsidRPr="003A0BB2" w:rsidTr="0049294F">
        <w:tc>
          <w:tcPr>
            <w:tcW w:w="9468" w:type="dxa"/>
            <w:shd w:val="clear" w:color="auto" w:fill="F2F2F2" w:themeFill="background1" w:themeFillShade="F2"/>
          </w:tcPr>
          <w:p w:rsidR="0049294F" w:rsidRDefault="0049294F" w:rsidP="00A576A0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0F99" w:rsidRDefault="00C80F99" w:rsidP="00C80F9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Implement strategies to ensure and enhance the systematic and ongoing processes of gathering, analyzing, interpreting, and using information for continuous improvement throughout each department and the Division</w:t>
            </w:r>
          </w:p>
          <w:p w:rsidR="0049294F" w:rsidRPr="004A6DE0" w:rsidRDefault="0049294F" w:rsidP="00A576A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94F" w:rsidRPr="003A0BB2" w:rsidTr="0049294F">
        <w:tc>
          <w:tcPr>
            <w:tcW w:w="9468" w:type="dxa"/>
          </w:tcPr>
          <w:p w:rsidR="00A576A0" w:rsidRPr="00A40B77" w:rsidRDefault="00A576A0" w:rsidP="00A40B77">
            <w:pPr>
              <w:rPr>
                <w:strike/>
              </w:rPr>
            </w:pPr>
          </w:p>
          <w:p w:rsidR="00A576A0" w:rsidRPr="003A0BB2" w:rsidRDefault="007D23A4" w:rsidP="00A40B77">
            <w:pPr>
              <w:pStyle w:val="ListParagraph"/>
              <w:numPr>
                <w:ilvl w:val="0"/>
                <w:numId w:val="25"/>
              </w:numPr>
            </w:pPr>
            <w:r>
              <w:t xml:space="preserve">Assist departments with strengthening assessments through the development of a </w:t>
            </w:r>
            <w:r w:rsidR="00C45DF0">
              <w:t>Division assessment resource website.</w:t>
            </w:r>
          </w:p>
        </w:tc>
      </w:tr>
      <w:tr w:rsidR="0049294F" w:rsidRPr="003A0BB2" w:rsidTr="0049294F">
        <w:tc>
          <w:tcPr>
            <w:tcW w:w="9468" w:type="dxa"/>
          </w:tcPr>
          <w:p w:rsidR="0049294F" w:rsidRDefault="00C45DF0" w:rsidP="00A576A0">
            <w:pPr>
              <w:pStyle w:val="ListParagraph"/>
              <w:numPr>
                <w:ilvl w:val="0"/>
                <w:numId w:val="25"/>
              </w:numPr>
            </w:pPr>
            <w:r>
              <w:t xml:space="preserve">Review implementation of </w:t>
            </w:r>
            <w:r w:rsidR="00605460">
              <w:t xml:space="preserve">a </w:t>
            </w:r>
            <w:r>
              <w:t>common student learning outcome for current year (interpersonal skill development) across departments.</w:t>
            </w:r>
          </w:p>
          <w:p w:rsidR="00A576A0" w:rsidRPr="003A0BB2" w:rsidRDefault="00A576A0" w:rsidP="00A576A0"/>
        </w:tc>
      </w:tr>
      <w:tr w:rsidR="00D04E08" w:rsidRPr="003A0BB2" w:rsidTr="00D97148">
        <w:tc>
          <w:tcPr>
            <w:tcW w:w="9468" w:type="dxa"/>
          </w:tcPr>
          <w:p w:rsidR="00D04E08" w:rsidRPr="003A0BB2" w:rsidRDefault="00C45DF0" w:rsidP="00C45DF0">
            <w:pPr>
              <w:pStyle w:val="ListParagraph"/>
              <w:numPr>
                <w:ilvl w:val="0"/>
                <w:numId w:val="25"/>
              </w:numPr>
            </w:pPr>
            <w:r>
              <w:t>Offer specific assessment review assistance to 2-3 departments during fall and spring.</w:t>
            </w:r>
          </w:p>
        </w:tc>
      </w:tr>
      <w:tr w:rsidR="0049294F" w:rsidRPr="003A0BB2" w:rsidTr="0049294F">
        <w:tc>
          <w:tcPr>
            <w:tcW w:w="9468" w:type="dxa"/>
          </w:tcPr>
          <w:p w:rsidR="0049294F" w:rsidRDefault="00C45DF0" w:rsidP="00A576A0">
            <w:pPr>
              <w:pStyle w:val="ListParagraph"/>
              <w:numPr>
                <w:ilvl w:val="0"/>
                <w:numId w:val="25"/>
              </w:numPr>
            </w:pPr>
            <w:r>
              <w:t>Develop generic templates appropriate for program reviews and service evaluation.</w:t>
            </w:r>
          </w:p>
          <w:p w:rsidR="00A576A0" w:rsidRDefault="00A576A0" w:rsidP="007D3B00"/>
        </w:tc>
      </w:tr>
      <w:tr w:rsidR="00C45DF0" w:rsidRPr="003A0BB2" w:rsidTr="0049294F">
        <w:tc>
          <w:tcPr>
            <w:tcW w:w="9468" w:type="dxa"/>
          </w:tcPr>
          <w:p w:rsidR="00C45DF0" w:rsidRDefault="00C45DF0" w:rsidP="00A576A0">
            <w:pPr>
              <w:pStyle w:val="ListParagraph"/>
              <w:numPr>
                <w:ilvl w:val="0"/>
                <w:numId w:val="25"/>
              </w:numPr>
            </w:pPr>
            <w:r>
              <w:t>Track and monitor evolving institution-wide</w:t>
            </w:r>
            <w:r w:rsidR="002206E1">
              <w:t xml:space="preserve"> assessment and surveying efforts to ensure consistency and avoid redundancy.</w:t>
            </w:r>
          </w:p>
        </w:tc>
      </w:tr>
      <w:tr w:rsidR="007D3B00" w:rsidRPr="003A0BB2" w:rsidTr="00A97197">
        <w:tc>
          <w:tcPr>
            <w:tcW w:w="9468" w:type="dxa"/>
            <w:shd w:val="clear" w:color="auto" w:fill="auto"/>
          </w:tcPr>
          <w:p w:rsidR="007D3B00" w:rsidRDefault="00992610" w:rsidP="000E190D">
            <w:pPr>
              <w:pStyle w:val="ListParagraph"/>
              <w:numPr>
                <w:ilvl w:val="0"/>
                <w:numId w:val="25"/>
              </w:numPr>
            </w:pPr>
            <w:r>
              <w:t xml:space="preserve">Engage </w:t>
            </w:r>
            <w:r w:rsidR="007D3B00">
              <w:t xml:space="preserve">Assessment Team </w:t>
            </w:r>
            <w:r>
              <w:t>in making recommendations</w:t>
            </w:r>
            <w:r w:rsidR="007D3B00">
              <w:t xml:space="preserve"> for sharing Division a</w:t>
            </w:r>
            <w:r w:rsidR="00A97197">
              <w:t xml:space="preserve">nd </w:t>
            </w:r>
            <w:r w:rsidR="00605460">
              <w:t>d</w:t>
            </w:r>
            <w:r w:rsidR="00A97197">
              <w:t>epartmental assessment data</w:t>
            </w:r>
          </w:p>
          <w:p w:rsidR="007D3B00" w:rsidRDefault="007D3B00" w:rsidP="000E190D"/>
        </w:tc>
      </w:tr>
      <w:tr w:rsidR="002206E1" w:rsidRPr="003A0BB2" w:rsidTr="00A97197">
        <w:tc>
          <w:tcPr>
            <w:tcW w:w="9468" w:type="dxa"/>
            <w:shd w:val="clear" w:color="auto" w:fill="auto"/>
          </w:tcPr>
          <w:p w:rsidR="002206E1" w:rsidRDefault="002206E1" w:rsidP="000E190D">
            <w:pPr>
              <w:pStyle w:val="ListParagraph"/>
              <w:numPr>
                <w:ilvl w:val="0"/>
                <w:numId w:val="25"/>
              </w:numPr>
            </w:pPr>
            <w:r>
              <w:t>Prepare for and implement on-going departmental 5-year self-studies and peer review rotating cycles.</w:t>
            </w:r>
          </w:p>
        </w:tc>
      </w:tr>
    </w:tbl>
    <w:p w:rsidR="00A77244" w:rsidRPr="003A0BB2" w:rsidRDefault="00A77244" w:rsidP="00A576A0">
      <w:pPr>
        <w:tabs>
          <w:tab w:val="left" w:pos="1200"/>
        </w:tabs>
      </w:pPr>
    </w:p>
    <w:sectPr w:rsidR="00A77244" w:rsidRPr="003A0BB2" w:rsidSect="00C633EF">
      <w:footerReference w:type="default" r:id="rId7"/>
      <w:footerReference w:type="first" r:id="rId8"/>
      <w:pgSz w:w="12240" w:h="15840" w:code="1"/>
      <w:pgMar w:top="72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D7" w:rsidRDefault="001379D7" w:rsidP="00F5368D">
      <w:r>
        <w:separator/>
      </w:r>
    </w:p>
  </w:endnote>
  <w:endnote w:type="continuationSeparator" w:id="0">
    <w:p w:rsidR="001379D7" w:rsidRDefault="001379D7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6" w:rsidRPr="008018D6" w:rsidRDefault="008018D6" w:rsidP="008018D6">
    <w:pPr>
      <w:pStyle w:val="Footer"/>
      <w:jc w:val="right"/>
      <w:rPr>
        <w:sz w:val="20"/>
        <w:szCs w:val="20"/>
      </w:rPr>
    </w:pPr>
    <w:r w:rsidRPr="008018D6">
      <w:rPr>
        <w:sz w:val="20"/>
        <w:szCs w:val="20"/>
      </w:rPr>
      <w:t>Divisi</w:t>
    </w:r>
    <w:r w:rsidR="00D04E08">
      <w:rPr>
        <w:sz w:val="20"/>
        <w:szCs w:val="20"/>
      </w:rPr>
      <w:t>on of Student Affairs Goals 2014</w:t>
    </w:r>
    <w:r w:rsidRPr="008018D6">
      <w:rPr>
        <w:sz w:val="20"/>
        <w:szCs w:val="20"/>
      </w:rPr>
      <w:t>-201</w:t>
    </w:r>
    <w:r w:rsidR="00D04E08">
      <w:rPr>
        <w:sz w:val="20"/>
        <w:szCs w:val="20"/>
      </w:rPr>
      <w:t>5</w:t>
    </w:r>
  </w:p>
  <w:p w:rsidR="008018D6" w:rsidRPr="008018D6" w:rsidRDefault="008018D6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5B" w:rsidRDefault="00F4535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35B" w:rsidRDefault="00F4535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Division of Student Affairs Goals 2015-16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F4535B" w:rsidRDefault="00F4535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Division of Student Affairs Goals 2015-16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D7" w:rsidRDefault="001379D7" w:rsidP="00F5368D">
      <w:r>
        <w:separator/>
      </w:r>
    </w:p>
  </w:footnote>
  <w:footnote w:type="continuationSeparator" w:id="0">
    <w:p w:rsidR="001379D7" w:rsidRDefault="001379D7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0608"/>
    <w:multiLevelType w:val="hybridMultilevel"/>
    <w:tmpl w:val="711A7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14EEF"/>
    <w:multiLevelType w:val="hybridMultilevel"/>
    <w:tmpl w:val="DE201560"/>
    <w:lvl w:ilvl="0" w:tplc="94BA2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9A6"/>
    <w:multiLevelType w:val="hybridMultilevel"/>
    <w:tmpl w:val="1B6C7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A0B48"/>
    <w:multiLevelType w:val="hybridMultilevel"/>
    <w:tmpl w:val="EA905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85BFF"/>
    <w:multiLevelType w:val="hybridMultilevel"/>
    <w:tmpl w:val="57AE3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83F96"/>
    <w:multiLevelType w:val="hybridMultilevel"/>
    <w:tmpl w:val="29AAB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73E12"/>
    <w:multiLevelType w:val="hybridMultilevel"/>
    <w:tmpl w:val="F9A6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628"/>
    <w:multiLevelType w:val="hybridMultilevel"/>
    <w:tmpl w:val="C060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30F45"/>
    <w:multiLevelType w:val="hybridMultilevel"/>
    <w:tmpl w:val="A5D68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88356B"/>
    <w:multiLevelType w:val="hybridMultilevel"/>
    <w:tmpl w:val="3D3A2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A7EA3"/>
    <w:multiLevelType w:val="hybridMultilevel"/>
    <w:tmpl w:val="FE047B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8" w15:restartNumberingAfterBreak="0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34F3"/>
    <w:multiLevelType w:val="hybridMultilevel"/>
    <w:tmpl w:val="7A547A10"/>
    <w:lvl w:ilvl="0" w:tplc="88E67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1D35"/>
    <w:multiLevelType w:val="hybridMultilevel"/>
    <w:tmpl w:val="3C6C8140"/>
    <w:lvl w:ilvl="0" w:tplc="DFFC62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7077D0"/>
    <w:multiLevelType w:val="hybridMultilevel"/>
    <w:tmpl w:val="B2DC2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5758C"/>
    <w:multiLevelType w:val="hybridMultilevel"/>
    <w:tmpl w:val="77EAC756"/>
    <w:lvl w:ilvl="0" w:tplc="5F5E2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371DC"/>
    <w:multiLevelType w:val="hybridMultilevel"/>
    <w:tmpl w:val="C306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40BE3"/>
    <w:multiLevelType w:val="hybridMultilevel"/>
    <w:tmpl w:val="6B622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36437C"/>
    <w:multiLevelType w:val="hybridMultilevel"/>
    <w:tmpl w:val="5CDC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61067"/>
    <w:multiLevelType w:val="hybridMultilevel"/>
    <w:tmpl w:val="E6968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86487"/>
    <w:multiLevelType w:val="hybridMultilevel"/>
    <w:tmpl w:val="9DA8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62366"/>
    <w:multiLevelType w:val="hybridMultilevel"/>
    <w:tmpl w:val="70F01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8"/>
  </w:num>
  <w:num w:numId="9">
    <w:abstractNumId w:val="38"/>
  </w:num>
  <w:num w:numId="10">
    <w:abstractNumId w:val="36"/>
  </w:num>
  <w:num w:numId="11">
    <w:abstractNumId w:val="9"/>
  </w:num>
  <w:num w:numId="12">
    <w:abstractNumId w:val="35"/>
  </w:num>
  <w:num w:numId="13">
    <w:abstractNumId w:val="0"/>
  </w:num>
  <w:num w:numId="14">
    <w:abstractNumId w:val="3"/>
  </w:num>
  <w:num w:numId="15">
    <w:abstractNumId w:val="34"/>
  </w:num>
  <w:num w:numId="16">
    <w:abstractNumId w:val="39"/>
  </w:num>
  <w:num w:numId="17">
    <w:abstractNumId w:val="37"/>
  </w:num>
  <w:num w:numId="18">
    <w:abstractNumId w:val="2"/>
  </w:num>
  <w:num w:numId="19">
    <w:abstractNumId w:val="30"/>
  </w:num>
  <w:num w:numId="20">
    <w:abstractNumId w:val="33"/>
  </w:num>
  <w:num w:numId="21">
    <w:abstractNumId w:val="20"/>
  </w:num>
  <w:num w:numId="22">
    <w:abstractNumId w:val="29"/>
  </w:num>
  <w:num w:numId="23">
    <w:abstractNumId w:val="27"/>
  </w:num>
  <w:num w:numId="24">
    <w:abstractNumId w:val="11"/>
  </w:num>
  <w:num w:numId="25">
    <w:abstractNumId w:val="15"/>
  </w:num>
  <w:num w:numId="26">
    <w:abstractNumId w:val="19"/>
  </w:num>
  <w:num w:numId="27">
    <w:abstractNumId w:val="14"/>
  </w:num>
  <w:num w:numId="28">
    <w:abstractNumId w:val="8"/>
  </w:num>
  <w:num w:numId="29">
    <w:abstractNumId w:val="7"/>
  </w:num>
  <w:num w:numId="30">
    <w:abstractNumId w:val="40"/>
  </w:num>
  <w:num w:numId="31">
    <w:abstractNumId w:val="26"/>
  </w:num>
  <w:num w:numId="32">
    <w:abstractNumId w:val="12"/>
  </w:num>
  <w:num w:numId="33">
    <w:abstractNumId w:val="16"/>
  </w:num>
  <w:num w:numId="34">
    <w:abstractNumId w:val="24"/>
  </w:num>
  <w:num w:numId="35">
    <w:abstractNumId w:val="13"/>
  </w:num>
  <w:num w:numId="36">
    <w:abstractNumId w:val="32"/>
  </w:num>
  <w:num w:numId="37">
    <w:abstractNumId w:val="1"/>
  </w:num>
  <w:num w:numId="38">
    <w:abstractNumId w:val="28"/>
  </w:num>
  <w:num w:numId="39">
    <w:abstractNumId w:val="6"/>
  </w:num>
  <w:num w:numId="40">
    <w:abstractNumId w:val="25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9"/>
    <w:rsid w:val="00000658"/>
    <w:rsid w:val="000101EF"/>
    <w:rsid w:val="00013142"/>
    <w:rsid w:val="00024954"/>
    <w:rsid w:val="00040598"/>
    <w:rsid w:val="0005345D"/>
    <w:rsid w:val="000703C5"/>
    <w:rsid w:val="00072062"/>
    <w:rsid w:val="000B3F3C"/>
    <w:rsid w:val="000C3A23"/>
    <w:rsid w:val="000E49B1"/>
    <w:rsid w:val="000F1D79"/>
    <w:rsid w:val="001003EB"/>
    <w:rsid w:val="00104569"/>
    <w:rsid w:val="00115147"/>
    <w:rsid w:val="00132A5F"/>
    <w:rsid w:val="001379D7"/>
    <w:rsid w:val="001430AB"/>
    <w:rsid w:val="00146FCD"/>
    <w:rsid w:val="00163F4D"/>
    <w:rsid w:val="00165FEC"/>
    <w:rsid w:val="00185BD2"/>
    <w:rsid w:val="001873DE"/>
    <w:rsid w:val="001948F6"/>
    <w:rsid w:val="001D7EDD"/>
    <w:rsid w:val="001E4486"/>
    <w:rsid w:val="002039E3"/>
    <w:rsid w:val="0020465E"/>
    <w:rsid w:val="00204CD8"/>
    <w:rsid w:val="0020676B"/>
    <w:rsid w:val="00216AC9"/>
    <w:rsid w:val="002206E1"/>
    <w:rsid w:val="00222E52"/>
    <w:rsid w:val="00256561"/>
    <w:rsid w:val="002A024C"/>
    <w:rsid w:val="002B66B1"/>
    <w:rsid w:val="002F4D8F"/>
    <w:rsid w:val="00322BBA"/>
    <w:rsid w:val="003240D2"/>
    <w:rsid w:val="00332336"/>
    <w:rsid w:val="00385169"/>
    <w:rsid w:val="003901D3"/>
    <w:rsid w:val="003960A6"/>
    <w:rsid w:val="003A0BB2"/>
    <w:rsid w:val="003B2C06"/>
    <w:rsid w:val="003C09DB"/>
    <w:rsid w:val="003F21B9"/>
    <w:rsid w:val="00406432"/>
    <w:rsid w:val="00415A1D"/>
    <w:rsid w:val="004201F3"/>
    <w:rsid w:val="0044156F"/>
    <w:rsid w:val="00452CEF"/>
    <w:rsid w:val="00452D96"/>
    <w:rsid w:val="0046540C"/>
    <w:rsid w:val="0046580E"/>
    <w:rsid w:val="00477486"/>
    <w:rsid w:val="004925CC"/>
    <w:rsid w:val="0049294F"/>
    <w:rsid w:val="004A6DE0"/>
    <w:rsid w:val="004B1858"/>
    <w:rsid w:val="004C020C"/>
    <w:rsid w:val="004D4A94"/>
    <w:rsid w:val="004E231B"/>
    <w:rsid w:val="004F0845"/>
    <w:rsid w:val="00512711"/>
    <w:rsid w:val="0053234B"/>
    <w:rsid w:val="00550914"/>
    <w:rsid w:val="00567D5E"/>
    <w:rsid w:val="00583829"/>
    <w:rsid w:val="00586E52"/>
    <w:rsid w:val="00592EB9"/>
    <w:rsid w:val="005A6CBC"/>
    <w:rsid w:val="005A6F4D"/>
    <w:rsid w:val="005B1094"/>
    <w:rsid w:val="005B7610"/>
    <w:rsid w:val="005D5919"/>
    <w:rsid w:val="005E4554"/>
    <w:rsid w:val="00605460"/>
    <w:rsid w:val="00614F06"/>
    <w:rsid w:val="00622BE7"/>
    <w:rsid w:val="00626E65"/>
    <w:rsid w:val="006602EE"/>
    <w:rsid w:val="00682B5A"/>
    <w:rsid w:val="00683E03"/>
    <w:rsid w:val="006A00F9"/>
    <w:rsid w:val="006B5D5D"/>
    <w:rsid w:val="006C1711"/>
    <w:rsid w:val="006E0AAE"/>
    <w:rsid w:val="006E4C6F"/>
    <w:rsid w:val="006E681F"/>
    <w:rsid w:val="007049D7"/>
    <w:rsid w:val="007270DF"/>
    <w:rsid w:val="00727F72"/>
    <w:rsid w:val="00731568"/>
    <w:rsid w:val="00746B93"/>
    <w:rsid w:val="00760103"/>
    <w:rsid w:val="007661B7"/>
    <w:rsid w:val="0077099C"/>
    <w:rsid w:val="00774B3F"/>
    <w:rsid w:val="00782186"/>
    <w:rsid w:val="007B0CC1"/>
    <w:rsid w:val="007D23A4"/>
    <w:rsid w:val="007D3B00"/>
    <w:rsid w:val="007F75EB"/>
    <w:rsid w:val="008018D6"/>
    <w:rsid w:val="00824041"/>
    <w:rsid w:val="008259AF"/>
    <w:rsid w:val="0082644A"/>
    <w:rsid w:val="0083580C"/>
    <w:rsid w:val="00836D43"/>
    <w:rsid w:val="00872B28"/>
    <w:rsid w:val="008901C4"/>
    <w:rsid w:val="008B5BB6"/>
    <w:rsid w:val="008E2C6A"/>
    <w:rsid w:val="008F072B"/>
    <w:rsid w:val="0090644D"/>
    <w:rsid w:val="00927A26"/>
    <w:rsid w:val="00945DA5"/>
    <w:rsid w:val="00954FB6"/>
    <w:rsid w:val="009656EE"/>
    <w:rsid w:val="009717BD"/>
    <w:rsid w:val="00992610"/>
    <w:rsid w:val="009A6EA1"/>
    <w:rsid w:val="009B5BFB"/>
    <w:rsid w:val="009D1AF0"/>
    <w:rsid w:val="009D3AEE"/>
    <w:rsid w:val="009D59BD"/>
    <w:rsid w:val="009E6474"/>
    <w:rsid w:val="009F3CFF"/>
    <w:rsid w:val="009F4E18"/>
    <w:rsid w:val="00A16699"/>
    <w:rsid w:val="00A40B77"/>
    <w:rsid w:val="00A55FF0"/>
    <w:rsid w:val="00A576A0"/>
    <w:rsid w:val="00A65B4B"/>
    <w:rsid w:val="00A66C04"/>
    <w:rsid w:val="00A67023"/>
    <w:rsid w:val="00A77244"/>
    <w:rsid w:val="00A97197"/>
    <w:rsid w:val="00AD7809"/>
    <w:rsid w:val="00AF06E0"/>
    <w:rsid w:val="00AF76B8"/>
    <w:rsid w:val="00AF76E7"/>
    <w:rsid w:val="00B0351D"/>
    <w:rsid w:val="00B12C5D"/>
    <w:rsid w:val="00B1668E"/>
    <w:rsid w:val="00B41DFD"/>
    <w:rsid w:val="00B424C9"/>
    <w:rsid w:val="00B50695"/>
    <w:rsid w:val="00B55225"/>
    <w:rsid w:val="00B755DC"/>
    <w:rsid w:val="00B837AB"/>
    <w:rsid w:val="00B85A0F"/>
    <w:rsid w:val="00BB0D17"/>
    <w:rsid w:val="00BB2D5F"/>
    <w:rsid w:val="00BB2E15"/>
    <w:rsid w:val="00BC1FF6"/>
    <w:rsid w:val="00BC60EA"/>
    <w:rsid w:val="00BE1DF8"/>
    <w:rsid w:val="00C10DFB"/>
    <w:rsid w:val="00C17ED2"/>
    <w:rsid w:val="00C26880"/>
    <w:rsid w:val="00C32D89"/>
    <w:rsid w:val="00C45DF0"/>
    <w:rsid w:val="00C526B8"/>
    <w:rsid w:val="00C52772"/>
    <w:rsid w:val="00C5446C"/>
    <w:rsid w:val="00C633EF"/>
    <w:rsid w:val="00C759EE"/>
    <w:rsid w:val="00C80F99"/>
    <w:rsid w:val="00C81AC8"/>
    <w:rsid w:val="00C8470A"/>
    <w:rsid w:val="00C87B2C"/>
    <w:rsid w:val="00C91237"/>
    <w:rsid w:val="00C940FE"/>
    <w:rsid w:val="00CA04C0"/>
    <w:rsid w:val="00CA2FF8"/>
    <w:rsid w:val="00CC082F"/>
    <w:rsid w:val="00CD1BD7"/>
    <w:rsid w:val="00CD2AE4"/>
    <w:rsid w:val="00CD3449"/>
    <w:rsid w:val="00CE6FF9"/>
    <w:rsid w:val="00D04E08"/>
    <w:rsid w:val="00D11D4C"/>
    <w:rsid w:val="00D21FB2"/>
    <w:rsid w:val="00D22560"/>
    <w:rsid w:val="00D23128"/>
    <w:rsid w:val="00D32F76"/>
    <w:rsid w:val="00D41162"/>
    <w:rsid w:val="00D43935"/>
    <w:rsid w:val="00D877DE"/>
    <w:rsid w:val="00D93D70"/>
    <w:rsid w:val="00DA384A"/>
    <w:rsid w:val="00DA39E6"/>
    <w:rsid w:val="00DB6110"/>
    <w:rsid w:val="00DC5AC6"/>
    <w:rsid w:val="00DE4B07"/>
    <w:rsid w:val="00DF65A3"/>
    <w:rsid w:val="00E1457A"/>
    <w:rsid w:val="00E33AF3"/>
    <w:rsid w:val="00E43ED2"/>
    <w:rsid w:val="00E55D01"/>
    <w:rsid w:val="00E912FD"/>
    <w:rsid w:val="00E9406B"/>
    <w:rsid w:val="00EA0F18"/>
    <w:rsid w:val="00EA1D85"/>
    <w:rsid w:val="00EB41AA"/>
    <w:rsid w:val="00EC537E"/>
    <w:rsid w:val="00EC7139"/>
    <w:rsid w:val="00ED1C25"/>
    <w:rsid w:val="00EE35DE"/>
    <w:rsid w:val="00EF23F2"/>
    <w:rsid w:val="00EF4AE3"/>
    <w:rsid w:val="00EF7352"/>
    <w:rsid w:val="00F063F2"/>
    <w:rsid w:val="00F1256A"/>
    <w:rsid w:val="00F25F41"/>
    <w:rsid w:val="00F34E14"/>
    <w:rsid w:val="00F4535B"/>
    <w:rsid w:val="00F5197F"/>
    <w:rsid w:val="00F5368D"/>
    <w:rsid w:val="00F718FB"/>
    <w:rsid w:val="00F7296C"/>
    <w:rsid w:val="00F77B6B"/>
    <w:rsid w:val="00F8066B"/>
    <w:rsid w:val="00F86BC8"/>
    <w:rsid w:val="00F9261D"/>
    <w:rsid w:val="00F93B23"/>
    <w:rsid w:val="00F94656"/>
    <w:rsid w:val="00FA0F14"/>
    <w:rsid w:val="00FA4B12"/>
    <w:rsid w:val="00FA53BD"/>
    <w:rsid w:val="00FA5F4E"/>
    <w:rsid w:val="00FA6D53"/>
    <w:rsid w:val="00FA7F76"/>
    <w:rsid w:val="00FB031C"/>
    <w:rsid w:val="00FD2A52"/>
    <w:rsid w:val="00FE0A12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4BF79D-9F93-4454-8093-9385D83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rsid w:val="002046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6DE0"/>
    <w:rPr>
      <w:rFonts w:ascii="Book Antiqua" w:hAnsi="Book Antiqu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DE0"/>
    <w:rPr>
      <w:rFonts w:ascii="Book Antiqua" w:hAnsi="Book Antiqua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F0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Division of Student Affairs Goals 2015-16</dc:subject>
  <dc:creator>Angelyn Hayes</dc:creator>
  <cp:lastModifiedBy>Stephanie Allen</cp:lastModifiedBy>
  <cp:revision>3</cp:revision>
  <cp:lastPrinted>2016-01-11T13:53:00Z</cp:lastPrinted>
  <dcterms:created xsi:type="dcterms:W3CDTF">2016-01-11T14:01:00Z</dcterms:created>
  <dcterms:modified xsi:type="dcterms:W3CDTF">2016-01-11T14:44:00Z</dcterms:modified>
</cp:coreProperties>
</file>