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Pr="001341F4" w:rsidRDefault="001A2F53" w:rsidP="002206A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Disability Resource Center</w:t>
      </w:r>
      <w:r w:rsidR="00795AF6">
        <w:rPr>
          <w:b/>
          <w:sz w:val="24"/>
          <w:szCs w:val="24"/>
        </w:rPr>
        <w:t xml:space="preserve"> </w:t>
      </w:r>
      <w:r w:rsidR="00E43ED2" w:rsidRPr="001341F4">
        <w:rPr>
          <w:b/>
          <w:sz w:val="24"/>
          <w:szCs w:val="24"/>
        </w:rPr>
        <w:t>Department</w:t>
      </w:r>
      <w:r w:rsidR="00F5368D" w:rsidRPr="001341F4">
        <w:rPr>
          <w:b/>
          <w:sz w:val="24"/>
          <w:szCs w:val="24"/>
        </w:rPr>
        <w:t xml:space="preserve"> Goals for </w:t>
      </w:r>
      <w:r w:rsidR="00E43ED2" w:rsidRPr="001341F4">
        <w:rPr>
          <w:b/>
          <w:sz w:val="24"/>
          <w:szCs w:val="24"/>
        </w:rPr>
        <w:t>2013-2014</w:t>
      </w:r>
    </w:p>
    <w:p w:rsidR="00622BE7" w:rsidRDefault="00622BE7" w:rsidP="002206A9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308"/>
        <w:gridCol w:w="2430"/>
      </w:tblGrid>
      <w:tr w:rsidR="00501A33" w:rsidRPr="003A0BB2" w:rsidTr="00501A33">
        <w:trPr>
          <w:trHeight w:val="253"/>
        </w:trPr>
        <w:tc>
          <w:tcPr>
            <w:tcW w:w="7308" w:type="dxa"/>
          </w:tcPr>
          <w:p w:rsidR="00501A33" w:rsidRPr="003A0BB2" w:rsidRDefault="00501A33" w:rsidP="002206A9"/>
        </w:tc>
        <w:tc>
          <w:tcPr>
            <w:tcW w:w="2430" w:type="dxa"/>
          </w:tcPr>
          <w:p w:rsidR="00501A33" w:rsidRPr="00E43ED2" w:rsidRDefault="00501A33" w:rsidP="001A2F53">
            <w:pPr>
              <w:jc w:val="center"/>
              <w:rPr>
                <w:b/>
              </w:rPr>
            </w:pPr>
            <w:r>
              <w:rPr>
                <w:b/>
              </w:rPr>
              <w:t>Completion Deadline</w:t>
            </w:r>
          </w:p>
        </w:tc>
      </w:tr>
      <w:tr w:rsidR="00501A33" w:rsidRPr="003A0BB2" w:rsidTr="00501A33">
        <w:trPr>
          <w:trHeight w:val="253"/>
        </w:trPr>
        <w:tc>
          <w:tcPr>
            <w:tcW w:w="7308" w:type="dxa"/>
            <w:shd w:val="clear" w:color="auto" w:fill="F2F2F2" w:themeFill="background1" w:themeFillShade="F2"/>
            <w:vAlign w:val="center"/>
          </w:tcPr>
          <w:p w:rsidR="00501A33" w:rsidRDefault="00501A33" w:rsidP="001A2F53">
            <w:pPr>
              <w:rPr>
                <w:rFonts w:cs="Arial"/>
                <w:b/>
              </w:rPr>
            </w:pPr>
          </w:p>
          <w:p w:rsidR="00501A33" w:rsidRDefault="00501A33" w:rsidP="001A2F5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Maximize</w:t>
            </w:r>
            <w:r w:rsidRPr="004C0DA1">
              <w:rPr>
                <w:rFonts w:cs="Arial"/>
                <w:b/>
              </w:rPr>
              <w:t xml:space="preserve"> existing resources and acquire additional resources to support legal compliance and the department’s vision and mission</w:t>
            </w:r>
          </w:p>
          <w:p w:rsidR="00501A33" w:rsidRPr="003A0BB2" w:rsidRDefault="00501A33" w:rsidP="001A2F53">
            <w:pPr>
              <w:rPr>
                <w:b/>
              </w:rPr>
            </w:pPr>
          </w:p>
        </w:tc>
        <w:tc>
          <w:tcPr>
            <w:tcW w:w="2430" w:type="dxa"/>
          </w:tcPr>
          <w:p w:rsidR="00501A33" w:rsidRPr="003A0BB2" w:rsidRDefault="00501A33" w:rsidP="001A2F53">
            <w:pPr>
              <w:ind w:left="360"/>
            </w:pPr>
          </w:p>
        </w:tc>
      </w:tr>
      <w:tr w:rsidR="00501A33" w:rsidRPr="003A0BB2" w:rsidTr="00501A33">
        <w:trPr>
          <w:trHeight w:val="253"/>
        </w:trPr>
        <w:tc>
          <w:tcPr>
            <w:tcW w:w="7308" w:type="dxa"/>
          </w:tcPr>
          <w:p w:rsidR="00501A33" w:rsidRPr="004C0DA1" w:rsidRDefault="00501A33" w:rsidP="001A2F5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Facilitate and support staff development to include professional coaching certification, assistive technology training, webinars, conferences and contributions to the profession.</w:t>
            </w:r>
          </w:p>
          <w:p w:rsidR="00501A33" w:rsidRPr="004C0DA1" w:rsidRDefault="00501A33" w:rsidP="000353F4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1A2F53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Pr="004C0DA1">
              <w:rPr>
                <w:rFonts w:cs="Arial"/>
              </w:rPr>
              <w:t xml:space="preserve">  2013</w:t>
            </w:r>
          </w:p>
        </w:tc>
      </w:tr>
      <w:tr w:rsidR="00501A33" w:rsidRPr="003A0BB2" w:rsidTr="00501A33">
        <w:trPr>
          <w:trHeight w:val="253"/>
        </w:trPr>
        <w:tc>
          <w:tcPr>
            <w:tcW w:w="7308" w:type="dxa"/>
          </w:tcPr>
          <w:p w:rsidR="00501A33" w:rsidRPr="00857135" w:rsidRDefault="00501A33" w:rsidP="001A2F5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857135">
              <w:rPr>
                <w:rFonts w:cs="Arial"/>
              </w:rPr>
              <w:t xml:space="preserve">Seek continued funding for student assistant (FY14/15)  </w:t>
            </w:r>
          </w:p>
          <w:p w:rsidR="00501A33" w:rsidRPr="004C0DA1" w:rsidRDefault="00501A33" w:rsidP="000353F4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1A2F53">
            <w:pPr>
              <w:rPr>
                <w:rFonts w:cs="Arial"/>
              </w:rPr>
            </w:pPr>
            <w:r w:rsidRPr="004C0DA1">
              <w:rPr>
                <w:rFonts w:cs="Arial"/>
              </w:rPr>
              <w:t>May/June</w:t>
            </w:r>
            <w:r>
              <w:rPr>
                <w:rFonts w:cs="Arial"/>
              </w:rPr>
              <w:t xml:space="preserve"> </w:t>
            </w:r>
            <w:r w:rsidRPr="004C0DA1">
              <w:rPr>
                <w:rFonts w:cs="Arial"/>
              </w:rPr>
              <w:t>2014</w:t>
            </w:r>
          </w:p>
        </w:tc>
      </w:tr>
      <w:tr w:rsidR="00501A33" w:rsidRPr="003A0BB2" w:rsidTr="00501A33">
        <w:trPr>
          <w:trHeight w:val="253"/>
        </w:trPr>
        <w:tc>
          <w:tcPr>
            <w:tcW w:w="7308" w:type="dxa"/>
          </w:tcPr>
          <w:p w:rsidR="00501A33" w:rsidRPr="004C0DA1" w:rsidRDefault="00501A33" w:rsidP="001A2F5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Continue efforts to se</w:t>
            </w:r>
            <w:r>
              <w:rPr>
                <w:rFonts w:cs="Arial"/>
              </w:rPr>
              <w:t>cure graduate counseling intern</w:t>
            </w:r>
          </w:p>
          <w:p w:rsidR="00501A33" w:rsidRPr="004C0DA1" w:rsidRDefault="00501A33" w:rsidP="000353F4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1A2F53">
            <w:pPr>
              <w:rPr>
                <w:rFonts w:cs="Arial"/>
              </w:rPr>
            </w:pPr>
            <w:r w:rsidRPr="004C0DA1">
              <w:rPr>
                <w:rFonts w:cs="Arial"/>
              </w:rPr>
              <w:t>October 2013</w:t>
            </w:r>
          </w:p>
        </w:tc>
      </w:tr>
      <w:tr w:rsidR="00501A33" w:rsidRPr="003A0BB2" w:rsidTr="00501A33">
        <w:trPr>
          <w:trHeight w:val="253"/>
        </w:trPr>
        <w:tc>
          <w:tcPr>
            <w:tcW w:w="7308" w:type="dxa"/>
            <w:shd w:val="clear" w:color="auto" w:fill="auto"/>
          </w:tcPr>
          <w:p w:rsidR="00501A33" w:rsidRPr="004C0DA1" w:rsidRDefault="00501A33" w:rsidP="001A2F5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Occupy and org</w:t>
            </w:r>
            <w:r>
              <w:rPr>
                <w:rFonts w:cs="Arial"/>
              </w:rPr>
              <w:t>anize renovated office space; e</w:t>
            </w:r>
            <w:r w:rsidRPr="004C0DA1">
              <w:rPr>
                <w:rFonts w:cs="Arial"/>
              </w:rPr>
              <w:t>valuate logistical</w:t>
            </w:r>
            <w:r>
              <w:rPr>
                <w:rFonts w:cs="Arial"/>
              </w:rPr>
              <w:t xml:space="preserve"> function</w:t>
            </w:r>
          </w:p>
          <w:p w:rsidR="00501A33" w:rsidRPr="004C0DA1" w:rsidRDefault="00501A33" w:rsidP="000353F4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1A2F53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Pr="004C0DA1">
              <w:rPr>
                <w:rFonts w:cs="Arial"/>
              </w:rPr>
              <w:t xml:space="preserve"> 2013</w:t>
            </w:r>
          </w:p>
        </w:tc>
      </w:tr>
      <w:tr w:rsidR="00501A33" w:rsidRPr="003A0BB2" w:rsidTr="00501A33">
        <w:trPr>
          <w:trHeight w:val="253"/>
        </w:trPr>
        <w:tc>
          <w:tcPr>
            <w:tcW w:w="7308" w:type="dxa"/>
          </w:tcPr>
          <w:p w:rsidR="00501A33" w:rsidRDefault="00501A33" w:rsidP="001A2F5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Continue to develop criteria for academic, diagnostic evaluation, and technology scholarships funded by the proceeds of the Land Endowment in collaboration with the Development Office</w:t>
            </w:r>
          </w:p>
          <w:p w:rsidR="00501A33" w:rsidRPr="004C0DA1" w:rsidRDefault="00501A33" w:rsidP="00DA2C01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1A2F53">
            <w:pPr>
              <w:rPr>
                <w:rFonts w:cs="Arial"/>
              </w:rPr>
            </w:pPr>
            <w:r w:rsidRPr="004C0DA1">
              <w:rPr>
                <w:rFonts w:cs="Arial"/>
              </w:rPr>
              <w:t>December</w:t>
            </w:r>
            <w:r>
              <w:rPr>
                <w:rFonts w:cs="Arial"/>
              </w:rPr>
              <w:t xml:space="preserve"> </w:t>
            </w:r>
            <w:r w:rsidRPr="004C0DA1">
              <w:rPr>
                <w:rFonts w:cs="Arial"/>
              </w:rPr>
              <w:t xml:space="preserve">2013 </w:t>
            </w:r>
          </w:p>
        </w:tc>
      </w:tr>
      <w:tr w:rsidR="00501A33" w:rsidRPr="003A0BB2" w:rsidTr="00501A33">
        <w:tc>
          <w:tcPr>
            <w:tcW w:w="7308" w:type="dxa"/>
          </w:tcPr>
          <w:p w:rsidR="00501A33" w:rsidRPr="004C0DA1" w:rsidRDefault="00501A33" w:rsidP="001A2F5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Select recipients for Land Endowment Schol</w:t>
            </w:r>
            <w:r>
              <w:rPr>
                <w:rFonts w:cs="Arial"/>
              </w:rPr>
              <w:t>arships, as funds are available</w:t>
            </w:r>
          </w:p>
          <w:p w:rsidR="00501A33" w:rsidRPr="004C0DA1" w:rsidRDefault="00501A33" w:rsidP="000353F4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1A2F53">
            <w:pPr>
              <w:rPr>
                <w:rFonts w:cs="Arial"/>
                <w:b/>
              </w:rPr>
            </w:pPr>
            <w:r w:rsidRPr="004C0DA1">
              <w:rPr>
                <w:rFonts w:cs="Arial"/>
              </w:rPr>
              <w:t>May</w:t>
            </w:r>
            <w:r>
              <w:rPr>
                <w:rFonts w:cs="Arial"/>
              </w:rPr>
              <w:t xml:space="preserve"> </w:t>
            </w:r>
            <w:r w:rsidRPr="004C0DA1">
              <w:rPr>
                <w:rFonts w:cs="Arial"/>
              </w:rPr>
              <w:t xml:space="preserve"> 2014 &amp; ongoing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Default="00501A33" w:rsidP="001A2F5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Investigate fund-raising opportunities through collaboration with the Development Office</w:t>
            </w:r>
          </w:p>
          <w:p w:rsidR="00501A33" w:rsidRPr="004C0DA1" w:rsidRDefault="00501A33" w:rsidP="00DA2C01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1A2F53">
            <w:pPr>
              <w:rPr>
                <w:rFonts w:cs="Arial"/>
                <w:b/>
              </w:rPr>
            </w:pPr>
            <w:r w:rsidRPr="004C0DA1">
              <w:rPr>
                <w:rFonts w:cs="Arial"/>
              </w:rPr>
              <w:t>June</w:t>
            </w:r>
            <w:r>
              <w:rPr>
                <w:rFonts w:cs="Arial"/>
              </w:rPr>
              <w:t xml:space="preserve"> </w:t>
            </w:r>
            <w:r w:rsidRPr="004C0DA1">
              <w:rPr>
                <w:rFonts w:cs="Arial"/>
              </w:rPr>
              <w:t>2013</w:t>
            </w:r>
          </w:p>
        </w:tc>
      </w:tr>
      <w:tr w:rsidR="00501A33" w:rsidRPr="00FA1471" w:rsidTr="00501A33">
        <w:tc>
          <w:tcPr>
            <w:tcW w:w="7308" w:type="dxa"/>
            <w:shd w:val="clear" w:color="auto" w:fill="F2F2F2" w:themeFill="background1" w:themeFillShade="F2"/>
          </w:tcPr>
          <w:p w:rsidR="00501A33" w:rsidRDefault="00501A33" w:rsidP="00DA2C01">
            <w:pPr>
              <w:rPr>
                <w:rFonts w:cs="Arial"/>
                <w:b/>
              </w:rPr>
            </w:pPr>
          </w:p>
          <w:p w:rsidR="00501A33" w:rsidRPr="004C0DA1" w:rsidRDefault="00501A33" w:rsidP="00DA2C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4C0DA1">
              <w:rPr>
                <w:rFonts w:cs="Arial"/>
                <w:b/>
              </w:rPr>
              <w:t>romote campus awareness of disability services, legal compliance standards and re</w:t>
            </w:r>
            <w:r>
              <w:rPr>
                <w:rFonts w:cs="Arial"/>
                <w:b/>
              </w:rPr>
              <w:t>lated information and resources</w:t>
            </w:r>
          </w:p>
          <w:p w:rsidR="00501A33" w:rsidRPr="00FA1471" w:rsidRDefault="00501A33" w:rsidP="001A2F53">
            <w:pPr>
              <w:pStyle w:val="ListParagraph"/>
              <w:ind w:left="360"/>
            </w:pPr>
          </w:p>
        </w:tc>
        <w:tc>
          <w:tcPr>
            <w:tcW w:w="2430" w:type="dxa"/>
          </w:tcPr>
          <w:p w:rsidR="00501A33" w:rsidRPr="00FA1471" w:rsidRDefault="00501A33" w:rsidP="001A2F53"/>
        </w:tc>
      </w:tr>
      <w:tr w:rsidR="00501A33" w:rsidRPr="00FA1471" w:rsidTr="00501A33">
        <w:tc>
          <w:tcPr>
            <w:tcW w:w="7308" w:type="dxa"/>
          </w:tcPr>
          <w:p w:rsidR="00501A33" w:rsidRDefault="00501A33" w:rsidP="00DA2C01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Identify opportunities for training on disability awareness, institutional responsibilit</w:t>
            </w:r>
            <w:r>
              <w:rPr>
                <w:rFonts w:cs="Arial"/>
              </w:rPr>
              <w:t>ies, DRC services and functions</w:t>
            </w:r>
          </w:p>
          <w:p w:rsidR="00501A33" w:rsidRPr="004C0DA1" w:rsidRDefault="00501A33" w:rsidP="00484E2A">
            <w:pPr>
              <w:pStyle w:val="ListParagraph"/>
              <w:ind w:left="360"/>
              <w:rPr>
                <w:rFonts w:cs="Arial"/>
              </w:rPr>
            </w:pPr>
            <w:r w:rsidRPr="004C0DA1">
              <w:rPr>
                <w:rFonts w:cs="Arial"/>
              </w:rPr>
              <w:t xml:space="preserve"> </w:t>
            </w:r>
          </w:p>
        </w:tc>
        <w:tc>
          <w:tcPr>
            <w:tcW w:w="2430" w:type="dxa"/>
          </w:tcPr>
          <w:p w:rsidR="00501A33" w:rsidRPr="004C0DA1" w:rsidRDefault="00501A33" w:rsidP="000353F4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Pr="004C0DA1">
              <w:rPr>
                <w:rFonts w:cs="Arial"/>
              </w:rPr>
              <w:t xml:space="preserve"> 2013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DA2C01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Evaluate current web design and content for accuracy, relevance and completeness; devel</w:t>
            </w:r>
            <w:r>
              <w:rPr>
                <w:rFonts w:cs="Arial"/>
              </w:rPr>
              <w:t>op a plan to update and enhance</w:t>
            </w:r>
          </w:p>
          <w:p w:rsidR="00501A33" w:rsidRPr="004C0DA1" w:rsidRDefault="00501A33" w:rsidP="000353F4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0353F4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Pr="004C0DA1">
              <w:rPr>
                <w:rFonts w:cs="Arial"/>
              </w:rPr>
              <w:t xml:space="preserve"> 2013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DA2C01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4C0DA1">
              <w:rPr>
                <w:rFonts w:cs="Arial"/>
              </w:rPr>
              <w:t xml:space="preserve">Develop job description, hire and begin training </w:t>
            </w:r>
            <w:r>
              <w:rPr>
                <w:rFonts w:cs="Arial"/>
              </w:rPr>
              <w:t>a new professional staff member</w:t>
            </w:r>
          </w:p>
          <w:p w:rsidR="00501A33" w:rsidRPr="004C0DA1" w:rsidRDefault="00501A33" w:rsidP="000353F4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DA2C01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Pr="004C0DA1">
              <w:rPr>
                <w:rFonts w:cs="Arial"/>
              </w:rPr>
              <w:t xml:space="preserve"> 2013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DA2C01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Continue to update, compile and organize the DRC manual of policies and procedures and</w:t>
            </w:r>
            <w:r>
              <w:rPr>
                <w:rFonts w:cs="Arial"/>
              </w:rPr>
              <w:t xml:space="preserve"> update DRC website accordingly</w:t>
            </w:r>
          </w:p>
          <w:p w:rsidR="00501A33" w:rsidRPr="004C0DA1" w:rsidRDefault="00501A33" w:rsidP="000353F4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0353F4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Pr="004C0DA1">
              <w:rPr>
                <w:rFonts w:cs="Arial"/>
              </w:rPr>
              <w:t xml:space="preserve"> 2013 &amp; ongoing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DA2C01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Examine office functions for maximum efficiency, considering addition of new personnel and reass</w:t>
            </w:r>
            <w:r>
              <w:rPr>
                <w:rFonts w:cs="Arial"/>
              </w:rPr>
              <w:t>ign/reapportion tasks as needed</w:t>
            </w:r>
          </w:p>
          <w:p w:rsidR="00501A33" w:rsidRPr="004C0DA1" w:rsidRDefault="00501A33" w:rsidP="000353F4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DA2C01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Pr="004C0DA1">
              <w:rPr>
                <w:rFonts w:cs="Arial"/>
              </w:rPr>
              <w:t xml:space="preserve"> 2013 &amp; ongoing</w:t>
            </w:r>
          </w:p>
        </w:tc>
      </w:tr>
      <w:tr w:rsidR="00501A33" w:rsidRPr="00FA1471" w:rsidTr="00501A33">
        <w:tc>
          <w:tcPr>
            <w:tcW w:w="7308" w:type="dxa"/>
            <w:shd w:val="clear" w:color="auto" w:fill="F2F2F2" w:themeFill="background1" w:themeFillShade="F2"/>
          </w:tcPr>
          <w:p w:rsidR="00501A33" w:rsidRDefault="00501A33" w:rsidP="00B12328">
            <w:pPr>
              <w:rPr>
                <w:rFonts w:cs="Arial"/>
                <w:b/>
              </w:rPr>
            </w:pPr>
          </w:p>
          <w:p w:rsidR="00501A33" w:rsidRDefault="00501A33" w:rsidP="00B1232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B12328">
              <w:rPr>
                <w:rFonts w:cs="Arial"/>
                <w:b/>
              </w:rPr>
              <w:t>rovide comprehensive services, including physical and programmatic access, to students, facu</w:t>
            </w:r>
            <w:r>
              <w:rPr>
                <w:rFonts w:cs="Arial"/>
                <w:b/>
              </w:rPr>
              <w:t>lty and staff with disabilities</w:t>
            </w:r>
          </w:p>
          <w:p w:rsidR="00501A33" w:rsidRPr="00FA1471" w:rsidRDefault="00501A33" w:rsidP="00B12328"/>
        </w:tc>
        <w:tc>
          <w:tcPr>
            <w:tcW w:w="2430" w:type="dxa"/>
          </w:tcPr>
          <w:p w:rsidR="00501A33" w:rsidRPr="00FA1471" w:rsidRDefault="00501A33" w:rsidP="001A2F53"/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B12328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</w:rPr>
            </w:pPr>
            <w:r w:rsidRPr="004C0DA1">
              <w:rPr>
                <w:rFonts w:cs="Arial"/>
              </w:rPr>
              <w:lastRenderedPageBreak/>
              <w:t>Continue to develop and update online faculty/staff training and resources addressing disability awareness and sensitivity, legal o</w:t>
            </w:r>
            <w:r>
              <w:rPr>
                <w:rFonts w:cs="Arial"/>
              </w:rPr>
              <w:t>bligations and universal design</w:t>
            </w:r>
          </w:p>
          <w:p w:rsidR="00501A33" w:rsidRPr="004C0DA1" w:rsidRDefault="00501A33" w:rsidP="000353F4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:rsidR="00501A33" w:rsidRPr="004C0DA1" w:rsidRDefault="00501A33" w:rsidP="000353F4">
            <w:pPr>
              <w:rPr>
                <w:rFonts w:cs="Arial"/>
              </w:rPr>
            </w:pPr>
          </w:p>
          <w:p w:rsidR="00501A33" w:rsidRPr="004C0DA1" w:rsidRDefault="00501A33" w:rsidP="000353F4">
            <w:pPr>
              <w:rPr>
                <w:rFonts w:cs="Arial"/>
              </w:rPr>
            </w:pPr>
            <w:r>
              <w:rPr>
                <w:rFonts w:cs="Arial"/>
              </w:rPr>
              <w:t xml:space="preserve">December </w:t>
            </w:r>
            <w:r w:rsidRPr="004C0DA1">
              <w:rPr>
                <w:rFonts w:cs="Arial"/>
              </w:rPr>
              <w:t>2013 &amp; ongoing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B12328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Collaborate in new student recruitment efforts of the Division as well as Academic Affairs and Admissions, and the office of Orientation and New Student Programs</w:t>
            </w:r>
          </w:p>
          <w:p w:rsidR="00501A33" w:rsidRPr="004C0DA1" w:rsidRDefault="00501A33" w:rsidP="000353F4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B12328">
            <w:pPr>
              <w:rPr>
                <w:rFonts w:cs="Arial"/>
              </w:rPr>
            </w:pPr>
            <w:r w:rsidRPr="004C0DA1">
              <w:rPr>
                <w:rFonts w:cs="Arial"/>
              </w:rPr>
              <w:t>December 2013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B12328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Collaborate with ADA Coordinator to enhance university compliance with Section 508 of the Rehabilitation Act and the Americans with Disabilities Act.</w:t>
            </w:r>
          </w:p>
          <w:p w:rsidR="00501A33" w:rsidRPr="004C0DA1" w:rsidRDefault="00501A33" w:rsidP="000353F4">
            <w:pPr>
              <w:pStyle w:val="ListParagraph"/>
              <w:ind w:left="360"/>
              <w:rPr>
                <w:rFonts w:cs="Arial"/>
              </w:rPr>
            </w:pPr>
            <w:r w:rsidRPr="004C0DA1">
              <w:rPr>
                <w:rFonts w:cs="Arial"/>
              </w:rPr>
              <w:t xml:space="preserve"> </w:t>
            </w:r>
          </w:p>
        </w:tc>
        <w:tc>
          <w:tcPr>
            <w:tcW w:w="2430" w:type="dxa"/>
          </w:tcPr>
          <w:p w:rsidR="00501A33" w:rsidRPr="004C0DA1" w:rsidRDefault="00501A33" w:rsidP="00B12328">
            <w:pPr>
              <w:rPr>
                <w:rFonts w:cs="Arial"/>
              </w:rPr>
            </w:pPr>
            <w:r w:rsidRPr="004C0DA1">
              <w:rPr>
                <w:rFonts w:cs="Arial"/>
              </w:rPr>
              <w:t>December 2013 &amp; ongoing</w:t>
            </w:r>
          </w:p>
        </w:tc>
      </w:tr>
      <w:tr w:rsidR="00501A33" w:rsidRPr="00FA1471" w:rsidTr="00501A33">
        <w:tc>
          <w:tcPr>
            <w:tcW w:w="7308" w:type="dxa"/>
            <w:shd w:val="clear" w:color="auto" w:fill="F2F2F2" w:themeFill="background1" w:themeFillShade="F2"/>
          </w:tcPr>
          <w:p w:rsidR="00501A33" w:rsidRDefault="00501A33" w:rsidP="00B12328">
            <w:pPr>
              <w:rPr>
                <w:rFonts w:cs="Arial"/>
                <w:b/>
              </w:rPr>
            </w:pPr>
          </w:p>
          <w:p w:rsidR="00501A33" w:rsidRPr="004C0DA1" w:rsidRDefault="00501A33" w:rsidP="00B1232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4C0DA1">
              <w:rPr>
                <w:rFonts w:cs="Arial"/>
                <w:b/>
              </w:rPr>
              <w:t>ssess service delivery, student satisfaction, program effectiveness and student demographics for strategic planning</w:t>
            </w:r>
          </w:p>
          <w:p w:rsidR="00501A33" w:rsidRPr="00FA1471" w:rsidRDefault="00501A33" w:rsidP="001A2F53">
            <w:pPr>
              <w:pStyle w:val="ListParagraph"/>
              <w:ind w:left="360"/>
            </w:pPr>
          </w:p>
        </w:tc>
        <w:tc>
          <w:tcPr>
            <w:tcW w:w="2430" w:type="dxa"/>
          </w:tcPr>
          <w:p w:rsidR="00501A33" w:rsidRPr="00FA1471" w:rsidRDefault="00501A33" w:rsidP="00FA1471"/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0353F4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</w:rPr>
            </w:pPr>
            <w:r w:rsidRPr="004C0DA1">
              <w:rPr>
                <w:rFonts w:cs="Arial"/>
              </w:rPr>
              <w:t>Assess types of data currently collected and determine usefulness, implementing</w:t>
            </w:r>
            <w:r>
              <w:rPr>
                <w:rFonts w:cs="Arial"/>
              </w:rPr>
              <w:t xml:space="preserve"> any needed changes</w:t>
            </w:r>
          </w:p>
        </w:tc>
        <w:tc>
          <w:tcPr>
            <w:tcW w:w="2430" w:type="dxa"/>
          </w:tcPr>
          <w:p w:rsidR="00501A33" w:rsidRPr="004C0DA1" w:rsidRDefault="00501A33" w:rsidP="000353F4">
            <w:pPr>
              <w:rPr>
                <w:rFonts w:cs="Arial"/>
              </w:rPr>
            </w:pPr>
            <w:r w:rsidRPr="004C0DA1">
              <w:rPr>
                <w:rFonts w:cs="Arial"/>
              </w:rPr>
              <w:t>June 2014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Default="00501A33" w:rsidP="008A0103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4C0DA1">
              <w:rPr>
                <w:rFonts w:cs="Arial"/>
              </w:rPr>
              <w:t xml:space="preserve">Conduct </w:t>
            </w:r>
            <w:r>
              <w:rPr>
                <w:rFonts w:cs="Arial"/>
              </w:rPr>
              <w:t xml:space="preserve">student survey </w:t>
            </w:r>
            <w:r w:rsidRPr="004C0DA1">
              <w:rPr>
                <w:rFonts w:cs="Arial"/>
              </w:rPr>
              <w:t xml:space="preserve"> to assess satisfaction and perceived effectiveness of Universi</w:t>
            </w:r>
            <w:r>
              <w:rPr>
                <w:rFonts w:cs="Arial"/>
              </w:rPr>
              <w:t>ty accommodations and services</w:t>
            </w:r>
          </w:p>
          <w:p w:rsidR="00501A33" w:rsidRPr="004C0DA1" w:rsidRDefault="00501A33" w:rsidP="008A0103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30" w:type="dxa"/>
          </w:tcPr>
          <w:p w:rsidR="00501A33" w:rsidRPr="004C0DA1" w:rsidRDefault="00501A33" w:rsidP="000353F4">
            <w:pPr>
              <w:rPr>
                <w:rFonts w:cs="Arial"/>
              </w:rPr>
            </w:pPr>
            <w:r w:rsidRPr="004C0DA1">
              <w:rPr>
                <w:rFonts w:cs="Arial"/>
              </w:rPr>
              <w:t>January</w:t>
            </w:r>
            <w:r>
              <w:rPr>
                <w:rFonts w:cs="Arial"/>
              </w:rPr>
              <w:t xml:space="preserve"> </w:t>
            </w:r>
            <w:r w:rsidRPr="004C0DA1">
              <w:rPr>
                <w:rFonts w:cs="Arial"/>
              </w:rPr>
              <w:t>2014 &amp; ongoing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C0DA1" w:rsidRDefault="00501A33" w:rsidP="00B12328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4C0DA1">
              <w:rPr>
                <w:rFonts w:cs="Arial"/>
              </w:rPr>
              <w:t>Twice a year, conduct a strategic planning staff retreat to review and assess attainment of previous goals, to develop future departmental strategies and goals based on these findings, and to address issues resulting from ch</w:t>
            </w:r>
            <w:r>
              <w:rPr>
                <w:rFonts w:cs="Arial"/>
              </w:rPr>
              <w:t>anging environmental conditions</w:t>
            </w:r>
          </w:p>
          <w:p w:rsidR="00501A33" w:rsidRPr="004C0DA1" w:rsidRDefault="00501A33" w:rsidP="000353F4">
            <w:pPr>
              <w:pStyle w:val="ListParagraph"/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:rsidR="00501A33" w:rsidRPr="004C0DA1" w:rsidRDefault="00501A33" w:rsidP="008A0103">
            <w:pPr>
              <w:rPr>
                <w:rFonts w:cs="Arial"/>
              </w:rPr>
            </w:pPr>
            <w:r>
              <w:rPr>
                <w:rFonts w:cs="Arial"/>
              </w:rPr>
              <w:t>January</w:t>
            </w:r>
            <w:r w:rsidRPr="004C0DA1">
              <w:rPr>
                <w:rFonts w:cs="Arial"/>
              </w:rPr>
              <w:t xml:space="preserve"> 2014 &amp; ongoing</w:t>
            </w:r>
          </w:p>
        </w:tc>
      </w:tr>
      <w:tr w:rsidR="00501A33" w:rsidRPr="00FA1471" w:rsidTr="00501A33">
        <w:tc>
          <w:tcPr>
            <w:tcW w:w="7308" w:type="dxa"/>
          </w:tcPr>
          <w:p w:rsidR="00501A33" w:rsidRPr="00484E2A" w:rsidRDefault="00501A33" w:rsidP="00B12328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</w:rPr>
            </w:pPr>
            <w:r w:rsidRPr="004C0DA1">
              <w:rPr>
                <w:rFonts w:cs="Arial"/>
              </w:rPr>
              <w:t>Proceed with integration of SAM and Banner systems to enh</w:t>
            </w:r>
            <w:r>
              <w:rPr>
                <w:rFonts w:cs="Arial"/>
              </w:rPr>
              <w:t>ance and expand data collection</w:t>
            </w:r>
          </w:p>
          <w:p w:rsidR="00501A33" w:rsidRPr="004C0DA1" w:rsidRDefault="00501A33" w:rsidP="00484E2A">
            <w:pPr>
              <w:pStyle w:val="ListParagraph"/>
              <w:ind w:left="360"/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:rsidR="00501A33" w:rsidRPr="004C0DA1" w:rsidRDefault="00501A33" w:rsidP="000353F4">
            <w:pPr>
              <w:rPr>
                <w:rFonts w:cs="Arial"/>
              </w:rPr>
            </w:pPr>
            <w:r>
              <w:rPr>
                <w:rFonts w:cs="Arial"/>
              </w:rPr>
              <w:t xml:space="preserve">June </w:t>
            </w:r>
            <w:r w:rsidRPr="004C0DA1">
              <w:rPr>
                <w:rFonts w:cs="Arial"/>
              </w:rPr>
              <w:t>2014</w:t>
            </w:r>
          </w:p>
        </w:tc>
      </w:tr>
    </w:tbl>
    <w:p w:rsidR="002140F7" w:rsidRPr="00FA1471" w:rsidRDefault="009F19A2" w:rsidP="002206A9"/>
    <w:sectPr w:rsidR="002140F7" w:rsidRPr="00FA1471" w:rsidSect="00501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A2" w:rsidRDefault="009F19A2" w:rsidP="00F5368D">
      <w:r>
        <w:separator/>
      </w:r>
    </w:p>
  </w:endnote>
  <w:endnote w:type="continuationSeparator" w:id="0">
    <w:p w:rsidR="009F19A2" w:rsidRDefault="009F19A2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A2" w:rsidRDefault="009F19A2" w:rsidP="00F5368D">
      <w:r>
        <w:separator/>
      </w:r>
    </w:p>
  </w:footnote>
  <w:footnote w:type="continuationSeparator" w:id="0">
    <w:p w:rsidR="009F19A2" w:rsidRDefault="009F19A2" w:rsidP="00F5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3A"/>
    <w:multiLevelType w:val="hybridMultilevel"/>
    <w:tmpl w:val="1D523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836BC3"/>
    <w:multiLevelType w:val="hybridMultilevel"/>
    <w:tmpl w:val="DC0437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84BF5"/>
    <w:multiLevelType w:val="hybridMultilevel"/>
    <w:tmpl w:val="0AFE2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037866"/>
    <w:multiLevelType w:val="hybridMultilevel"/>
    <w:tmpl w:val="47BED5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D7850"/>
    <w:multiLevelType w:val="hybridMultilevel"/>
    <w:tmpl w:val="38C8B26E"/>
    <w:lvl w:ilvl="0" w:tplc="18468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A44471"/>
    <w:multiLevelType w:val="hybridMultilevel"/>
    <w:tmpl w:val="F690BD8C"/>
    <w:lvl w:ilvl="0" w:tplc="27C8A3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0809CA"/>
    <w:multiLevelType w:val="hybridMultilevel"/>
    <w:tmpl w:val="038A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9976AFA"/>
    <w:multiLevelType w:val="hybridMultilevel"/>
    <w:tmpl w:val="82707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26"/>
  </w:num>
  <w:num w:numId="8">
    <w:abstractNumId w:val="10"/>
  </w:num>
  <w:num w:numId="9">
    <w:abstractNumId w:val="24"/>
  </w:num>
  <w:num w:numId="10">
    <w:abstractNumId w:val="20"/>
  </w:num>
  <w:num w:numId="11">
    <w:abstractNumId w:val="7"/>
  </w:num>
  <w:num w:numId="12">
    <w:abstractNumId w:val="19"/>
  </w:num>
  <w:num w:numId="13">
    <w:abstractNumId w:val="1"/>
  </w:num>
  <w:num w:numId="14">
    <w:abstractNumId w:val="3"/>
  </w:num>
  <w:num w:numId="15">
    <w:abstractNumId w:val="18"/>
  </w:num>
  <w:num w:numId="16">
    <w:abstractNumId w:val="25"/>
  </w:num>
  <w:num w:numId="17">
    <w:abstractNumId w:val="23"/>
  </w:num>
  <w:num w:numId="18">
    <w:abstractNumId w:val="2"/>
  </w:num>
  <w:num w:numId="19">
    <w:abstractNumId w:val="16"/>
  </w:num>
  <w:num w:numId="20">
    <w:abstractNumId w:val="17"/>
  </w:num>
  <w:num w:numId="21">
    <w:abstractNumId w:val="6"/>
  </w:num>
  <w:num w:numId="22">
    <w:abstractNumId w:val="14"/>
  </w:num>
  <w:num w:numId="23">
    <w:abstractNumId w:val="0"/>
  </w:num>
  <w:num w:numId="24">
    <w:abstractNumId w:val="22"/>
  </w:num>
  <w:num w:numId="25">
    <w:abstractNumId w:val="8"/>
  </w:num>
  <w:num w:numId="26">
    <w:abstractNumId w:val="27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24954"/>
    <w:rsid w:val="000B3F3C"/>
    <w:rsid w:val="001003EB"/>
    <w:rsid w:val="00115147"/>
    <w:rsid w:val="001341F4"/>
    <w:rsid w:val="00142E23"/>
    <w:rsid w:val="00187EF5"/>
    <w:rsid w:val="001A2F53"/>
    <w:rsid w:val="0020676B"/>
    <w:rsid w:val="00216AC9"/>
    <w:rsid w:val="002206A9"/>
    <w:rsid w:val="002E407E"/>
    <w:rsid w:val="003240D2"/>
    <w:rsid w:val="00345890"/>
    <w:rsid w:val="003946F3"/>
    <w:rsid w:val="00394EB5"/>
    <w:rsid w:val="003A0BB2"/>
    <w:rsid w:val="003B2C06"/>
    <w:rsid w:val="003F21B9"/>
    <w:rsid w:val="00415A1D"/>
    <w:rsid w:val="004201F3"/>
    <w:rsid w:val="0048279F"/>
    <w:rsid w:val="00484E2A"/>
    <w:rsid w:val="004875A3"/>
    <w:rsid w:val="00501A33"/>
    <w:rsid w:val="00575681"/>
    <w:rsid w:val="00602499"/>
    <w:rsid w:val="00614F06"/>
    <w:rsid w:val="00622BE7"/>
    <w:rsid w:val="006A00F9"/>
    <w:rsid w:val="006D706D"/>
    <w:rsid w:val="006E681F"/>
    <w:rsid w:val="006E7699"/>
    <w:rsid w:val="007267E1"/>
    <w:rsid w:val="00760103"/>
    <w:rsid w:val="007661B7"/>
    <w:rsid w:val="00795AF6"/>
    <w:rsid w:val="007B0CC1"/>
    <w:rsid w:val="007F75EB"/>
    <w:rsid w:val="00857135"/>
    <w:rsid w:val="008A0103"/>
    <w:rsid w:val="008C65CC"/>
    <w:rsid w:val="008E2C6A"/>
    <w:rsid w:val="00933A2C"/>
    <w:rsid w:val="00945DA5"/>
    <w:rsid w:val="009A6EA1"/>
    <w:rsid w:val="009B4D54"/>
    <w:rsid w:val="009B5BFB"/>
    <w:rsid w:val="009E6474"/>
    <w:rsid w:val="009F19A2"/>
    <w:rsid w:val="009F3CFF"/>
    <w:rsid w:val="00A0021D"/>
    <w:rsid w:val="00A125B7"/>
    <w:rsid w:val="00A55FF0"/>
    <w:rsid w:val="00A67023"/>
    <w:rsid w:val="00A77244"/>
    <w:rsid w:val="00B107E5"/>
    <w:rsid w:val="00B12328"/>
    <w:rsid w:val="00B37D08"/>
    <w:rsid w:val="00B837AB"/>
    <w:rsid w:val="00B975C8"/>
    <w:rsid w:val="00BC60EA"/>
    <w:rsid w:val="00C526B8"/>
    <w:rsid w:val="00C732CA"/>
    <w:rsid w:val="00C81AC8"/>
    <w:rsid w:val="00C87B2C"/>
    <w:rsid w:val="00C91237"/>
    <w:rsid w:val="00CA04C0"/>
    <w:rsid w:val="00CD1BD7"/>
    <w:rsid w:val="00CD2AE4"/>
    <w:rsid w:val="00CD3449"/>
    <w:rsid w:val="00CF2C64"/>
    <w:rsid w:val="00D21FB2"/>
    <w:rsid w:val="00D37B4D"/>
    <w:rsid w:val="00D41162"/>
    <w:rsid w:val="00DA2C01"/>
    <w:rsid w:val="00DF65A3"/>
    <w:rsid w:val="00E43ED2"/>
    <w:rsid w:val="00E55D01"/>
    <w:rsid w:val="00EC7139"/>
    <w:rsid w:val="00F25F41"/>
    <w:rsid w:val="00F5368D"/>
    <w:rsid w:val="00F9261D"/>
    <w:rsid w:val="00FA1471"/>
    <w:rsid w:val="00FA5F4E"/>
    <w:rsid w:val="00FB617B"/>
    <w:rsid w:val="00FE0DDB"/>
    <w:rsid w:val="00FE22E1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2013-10-03T13:50:00Z</cp:lastPrinted>
  <dcterms:created xsi:type="dcterms:W3CDTF">2014-04-09T17:26:00Z</dcterms:created>
  <dcterms:modified xsi:type="dcterms:W3CDTF">2014-04-09T17:26:00Z</dcterms:modified>
</cp:coreProperties>
</file>